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EFE3" w14:textId="77777777" w:rsidR="002F1DF1" w:rsidRDefault="002F1DF1" w:rsidP="004862DA">
      <w:pPr>
        <w:autoSpaceDE w:val="0"/>
        <w:autoSpaceDN w:val="0"/>
        <w:adjustRightInd w:val="0"/>
        <w:spacing w:after="120"/>
        <w:rPr>
          <w:rFonts w:ascii="Calibri Light" w:eastAsia="Calibri" w:hAnsi="Calibri Light"/>
          <w:b/>
          <w:color w:val="000000"/>
          <w:sz w:val="32"/>
          <w:szCs w:val="32"/>
          <w:lang w:eastAsia="en-US"/>
        </w:rPr>
      </w:pPr>
    </w:p>
    <w:p w14:paraId="6DE484A5" w14:textId="71E894D8" w:rsidR="002F1DF1" w:rsidRDefault="00681B13" w:rsidP="002F1DF1">
      <w:pPr>
        <w:pStyle w:val="BodyText"/>
        <w:spacing w:before="270" w:after="180"/>
        <w:jc w:val="center"/>
        <w:rPr>
          <w:rFonts w:ascii="TT1D94B9o00" w:hAnsi="TT1D94B9o00" w:cs="TT1D94B9o00"/>
          <w:b w:val="0"/>
          <w:szCs w:val="24"/>
        </w:rPr>
      </w:pPr>
      <w:r w:rsidRPr="00C63ADB">
        <w:rPr>
          <w:rFonts w:ascii="Times New Roman" w:hAnsi="Times New Roman"/>
          <w:noProof/>
          <w:szCs w:val="24"/>
        </w:rPr>
        <w:drawing>
          <wp:inline distT="0" distB="0" distL="0" distR="0" wp14:anchorId="02A31C15" wp14:editId="22DA1B52">
            <wp:extent cx="2978150" cy="2953937"/>
            <wp:effectExtent l="0" t="0" r="0" b="0"/>
            <wp:docPr id="4" name="Picture 1" descr="A red and white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red and white logo with a flow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784" cy="2957542"/>
                    </a:xfrm>
                    <a:prstGeom prst="rect">
                      <a:avLst/>
                    </a:prstGeom>
                    <a:noFill/>
                    <a:ln>
                      <a:noFill/>
                    </a:ln>
                  </pic:spPr>
                </pic:pic>
              </a:graphicData>
            </a:graphic>
          </wp:inline>
        </w:drawing>
      </w:r>
    </w:p>
    <w:p w14:paraId="088DD26F" w14:textId="77777777" w:rsidR="002F1DF1" w:rsidRDefault="002F1DF1" w:rsidP="002F1DF1">
      <w:pPr>
        <w:pStyle w:val="BodyText"/>
        <w:spacing w:before="270" w:after="180"/>
        <w:jc w:val="center"/>
        <w:rPr>
          <w:rFonts w:ascii="TT1D94B9o00" w:hAnsi="TT1D94B9o00" w:cs="TT1D94B9o00"/>
          <w:b w:val="0"/>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1"/>
      </w:tblGrid>
      <w:tr w:rsidR="002F1DF1" w14:paraId="6A39BD1B" w14:textId="77777777" w:rsidTr="002F1DF1">
        <w:tc>
          <w:tcPr>
            <w:tcW w:w="10457" w:type="dxa"/>
            <w:shd w:val="clear" w:color="auto" w:fill="BDD6EE" w:themeFill="accent1" w:themeFillTint="66"/>
            <w:vAlign w:val="center"/>
          </w:tcPr>
          <w:p w14:paraId="43CEA917" w14:textId="77777777" w:rsidR="002F1DF1" w:rsidRPr="00637EDA" w:rsidRDefault="002F1DF1" w:rsidP="00A2143E">
            <w:pPr>
              <w:pStyle w:val="BodyText"/>
              <w:spacing w:before="270" w:after="180"/>
              <w:jc w:val="center"/>
              <w:rPr>
                <w:rFonts w:ascii="TT1D94B9o00" w:hAnsi="TT1D94B9o00" w:cs="TT1D94B9o00"/>
                <w:b w:val="0"/>
                <w:sz w:val="52"/>
                <w:szCs w:val="52"/>
              </w:rPr>
            </w:pPr>
            <w:r w:rsidRPr="00637EDA">
              <w:rPr>
                <w:rFonts w:ascii="TT1D94B9o00" w:hAnsi="TT1D94B9o00" w:cs="TT1D94B9o00"/>
                <w:sz w:val="52"/>
                <w:szCs w:val="52"/>
              </w:rPr>
              <w:t>Police and Crime Commissioner for Lancashire</w:t>
            </w:r>
          </w:p>
        </w:tc>
      </w:tr>
      <w:tr w:rsidR="002F1DF1" w14:paraId="00FC5BC0" w14:textId="77777777" w:rsidTr="002F1DF1">
        <w:tc>
          <w:tcPr>
            <w:tcW w:w="10457" w:type="dxa"/>
            <w:shd w:val="clear" w:color="auto" w:fill="9CC2E5" w:themeFill="accent1" w:themeFillTint="99"/>
            <w:vAlign w:val="center"/>
          </w:tcPr>
          <w:p w14:paraId="4418A846" w14:textId="567D4C44" w:rsidR="002F1DF1" w:rsidRPr="00637EDA" w:rsidRDefault="00872833" w:rsidP="00A2143E">
            <w:pPr>
              <w:pStyle w:val="BodyText"/>
              <w:spacing w:before="270" w:after="180"/>
              <w:jc w:val="center"/>
              <w:rPr>
                <w:rFonts w:ascii="TT1D94B9o00" w:hAnsi="TT1D94B9o00" w:cs="TT1D94B9o00"/>
                <w:b w:val="0"/>
                <w:sz w:val="72"/>
                <w:szCs w:val="72"/>
              </w:rPr>
            </w:pPr>
            <w:r>
              <w:rPr>
                <w:rFonts w:ascii="TT1D94B9o00" w:hAnsi="TT1D94B9o00" w:cs="TT1D94B9o00"/>
                <w:sz w:val="72"/>
                <w:szCs w:val="72"/>
              </w:rPr>
              <w:t xml:space="preserve">Medium Term </w:t>
            </w:r>
            <w:r w:rsidR="002F1DF1">
              <w:rPr>
                <w:rFonts w:ascii="TT1D94B9o00" w:hAnsi="TT1D94B9o00" w:cs="TT1D94B9o00"/>
                <w:sz w:val="72"/>
                <w:szCs w:val="72"/>
              </w:rPr>
              <w:t>Financial</w:t>
            </w:r>
            <w:r w:rsidR="002F1DF1" w:rsidRPr="00637EDA">
              <w:rPr>
                <w:rFonts w:ascii="TT1D94B9o00" w:hAnsi="TT1D94B9o00" w:cs="TT1D94B9o00"/>
                <w:sz w:val="72"/>
                <w:szCs w:val="72"/>
              </w:rPr>
              <w:t xml:space="preserve"> Strategy</w:t>
            </w:r>
          </w:p>
        </w:tc>
      </w:tr>
      <w:tr w:rsidR="002F1DF1" w14:paraId="1CDEDA31" w14:textId="77777777" w:rsidTr="002F1DF1">
        <w:tc>
          <w:tcPr>
            <w:tcW w:w="10457" w:type="dxa"/>
            <w:shd w:val="clear" w:color="auto" w:fill="9CC2E5" w:themeFill="accent1" w:themeFillTint="99"/>
            <w:vAlign w:val="center"/>
          </w:tcPr>
          <w:p w14:paraId="6C5891D0" w14:textId="40610CEE" w:rsidR="002F1DF1" w:rsidRPr="00637EDA" w:rsidRDefault="002F1DF1" w:rsidP="00A2143E">
            <w:pPr>
              <w:pStyle w:val="BodyText"/>
              <w:spacing w:before="270" w:after="180"/>
              <w:jc w:val="center"/>
              <w:rPr>
                <w:rFonts w:ascii="TT1D94B9o00" w:hAnsi="TT1D94B9o00" w:cs="TT1D94B9o00"/>
                <w:b w:val="0"/>
                <w:sz w:val="72"/>
                <w:szCs w:val="72"/>
              </w:rPr>
            </w:pPr>
            <w:r w:rsidRPr="00637EDA">
              <w:rPr>
                <w:rFonts w:ascii="TT1D94B9o00" w:hAnsi="TT1D94B9o00" w:cs="TT1D94B9o00"/>
                <w:sz w:val="72"/>
                <w:szCs w:val="72"/>
              </w:rPr>
              <w:t>202</w:t>
            </w:r>
            <w:r w:rsidR="007C614E">
              <w:rPr>
                <w:rFonts w:ascii="TT1D94B9o00" w:hAnsi="TT1D94B9o00" w:cs="TT1D94B9o00"/>
                <w:sz w:val="72"/>
                <w:szCs w:val="72"/>
              </w:rPr>
              <w:t>6/27</w:t>
            </w:r>
          </w:p>
        </w:tc>
      </w:tr>
    </w:tbl>
    <w:p w14:paraId="2C6551F5" w14:textId="77777777" w:rsidR="002F1DF1" w:rsidRDefault="002F1DF1" w:rsidP="002F1DF1">
      <w:pPr>
        <w:pStyle w:val="BodyText"/>
        <w:spacing w:before="270" w:after="180"/>
        <w:rPr>
          <w:rFonts w:ascii="TT1D94B9o00" w:hAnsi="TT1D94B9o00" w:cs="TT1D94B9o00"/>
          <w:b w:val="0"/>
          <w:szCs w:val="24"/>
        </w:rPr>
      </w:pPr>
    </w:p>
    <w:p w14:paraId="51696415" w14:textId="77777777" w:rsidR="002F1DF1" w:rsidRDefault="002F1DF1">
      <w:pPr>
        <w:sectPr w:rsidR="002F1DF1" w:rsidSect="0073760E">
          <w:headerReference w:type="default" r:id="rId9"/>
          <w:footerReference w:type="default" r:id="rId10"/>
          <w:headerReference w:type="first" r:id="rId11"/>
          <w:footerReference w:type="first" r:id="rId12"/>
          <w:pgSz w:w="11909" w:h="16838" w:code="9"/>
          <w:pgMar w:top="851" w:right="1224" w:bottom="142" w:left="1224" w:header="360" w:footer="706" w:gutter="0"/>
          <w:pgNumType w:start="1"/>
          <w:cols w:space="720"/>
          <w:formProt w:val="0"/>
          <w:titlePg/>
        </w:sectPr>
      </w:pPr>
    </w:p>
    <w:p w14:paraId="26D9D632" w14:textId="3609998B" w:rsidR="004862DA" w:rsidRPr="00A2143E" w:rsidRDefault="004862DA" w:rsidP="00B03D05">
      <w:pPr>
        <w:pStyle w:val="ListParagraph"/>
        <w:numPr>
          <w:ilvl w:val="0"/>
          <w:numId w:val="3"/>
        </w:numPr>
        <w:spacing w:after="240"/>
        <w:ind w:left="357" w:hanging="357"/>
        <w:contextualSpacing w:val="0"/>
        <w:rPr>
          <w:b/>
          <w:bCs/>
        </w:rPr>
      </w:pPr>
      <w:r w:rsidRPr="00A2143E">
        <w:rPr>
          <w:b/>
          <w:bCs/>
        </w:rPr>
        <w:lastRenderedPageBreak/>
        <w:t>Executive Summary</w:t>
      </w:r>
    </w:p>
    <w:p w14:paraId="68E4A571" w14:textId="1F590466" w:rsidR="008369E1" w:rsidRDefault="007D4475" w:rsidP="00B03D05">
      <w:pPr>
        <w:pStyle w:val="ListParagraph"/>
        <w:numPr>
          <w:ilvl w:val="1"/>
          <w:numId w:val="3"/>
        </w:numPr>
        <w:spacing w:after="120"/>
        <w:ind w:left="788" w:hanging="431"/>
        <w:contextualSpacing w:val="0"/>
      </w:pPr>
      <w:r>
        <w:t xml:space="preserve">Policing </w:t>
      </w:r>
      <w:r w:rsidRPr="007D4475">
        <w:t xml:space="preserve">is facing </w:t>
      </w:r>
      <w:r>
        <w:t>significant demand for the services it provides</w:t>
      </w:r>
      <w:r w:rsidR="008369E1">
        <w:t xml:space="preserve"> with the nature of crime evolving at a rapid pace and becoming increasingly complex.</w:t>
      </w:r>
      <w:r w:rsidR="003710E9">
        <w:t xml:space="preserve"> </w:t>
      </w:r>
      <w:r w:rsidR="008369E1">
        <w:t>The pressure of demand must be balanc</w:t>
      </w:r>
      <w:r w:rsidR="003710E9">
        <w:t>e</w:t>
      </w:r>
      <w:r w:rsidR="008369E1">
        <w:t>d against the resources available to deliver policing in Lancashire and at the same time reflect the public's requirements.</w:t>
      </w:r>
      <w:r w:rsidR="003710E9">
        <w:t xml:space="preserve"> </w:t>
      </w:r>
      <w:r w:rsidR="008369E1">
        <w:t>The public's views are re</w:t>
      </w:r>
      <w:r w:rsidR="006B680E">
        <w:t>presented</w:t>
      </w:r>
      <w:r w:rsidR="008369E1">
        <w:t xml:space="preserve"> in the Police and Crime Commissioner's (PCC), "Police and Crime plan". This plan sets out the priorities for policing in Lancashire whilst recognising the resources that are available to deliver the service.</w:t>
      </w:r>
    </w:p>
    <w:p w14:paraId="4551CED9" w14:textId="455DF25B" w:rsidR="00E00C79" w:rsidRDefault="00E00C79" w:rsidP="00B03D05">
      <w:pPr>
        <w:pStyle w:val="ListParagraph"/>
        <w:numPr>
          <w:ilvl w:val="1"/>
          <w:numId w:val="3"/>
        </w:numPr>
        <w:spacing w:after="120"/>
        <w:ind w:left="788" w:hanging="431"/>
        <w:contextualSpacing w:val="0"/>
      </w:pPr>
      <w:r>
        <w:t>The Police and Crime plan priorities are:</w:t>
      </w:r>
    </w:p>
    <w:tbl>
      <w:tblPr>
        <w:tblStyle w:val="TableGrid"/>
        <w:tblW w:w="0" w:type="auto"/>
        <w:tblInd w:w="7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870"/>
      </w:tblGrid>
      <w:tr w:rsidR="00681B13" w14:paraId="6591BA1F" w14:textId="77777777" w:rsidTr="00BB49A9">
        <w:trPr>
          <w:trHeight w:val="397"/>
        </w:trPr>
        <w:tc>
          <w:tcPr>
            <w:tcW w:w="5870" w:type="dxa"/>
            <w:shd w:val="clear" w:color="auto" w:fill="FF0066"/>
            <w:vAlign w:val="center"/>
          </w:tcPr>
          <w:p w14:paraId="688C331C" w14:textId="6D328608" w:rsidR="00681B13" w:rsidRPr="00681B13" w:rsidRDefault="00681B13" w:rsidP="00681B13">
            <w:pPr>
              <w:pStyle w:val="ListParagraph"/>
              <w:numPr>
                <w:ilvl w:val="0"/>
                <w:numId w:val="20"/>
              </w:numPr>
              <w:contextualSpacing w:val="0"/>
              <w:jc w:val="left"/>
              <w:rPr>
                <w:b/>
                <w:bCs/>
                <w:color w:val="FFFFFF" w:themeColor="background1"/>
              </w:rPr>
            </w:pPr>
            <w:r w:rsidRPr="00681B13">
              <w:rPr>
                <w:b/>
                <w:bCs/>
                <w:color w:val="FFFFFF" w:themeColor="background1"/>
              </w:rPr>
              <w:t>Prevent Violence against Women and Girls</w:t>
            </w:r>
          </w:p>
        </w:tc>
      </w:tr>
      <w:tr w:rsidR="00681B13" w14:paraId="287B1C28" w14:textId="77777777" w:rsidTr="00BB49A9">
        <w:trPr>
          <w:trHeight w:val="397"/>
        </w:trPr>
        <w:tc>
          <w:tcPr>
            <w:tcW w:w="5870" w:type="dxa"/>
            <w:shd w:val="clear" w:color="auto" w:fill="FF0066"/>
            <w:vAlign w:val="center"/>
          </w:tcPr>
          <w:p w14:paraId="229E2841" w14:textId="279CC64F" w:rsidR="00681B13" w:rsidRPr="00681B13" w:rsidRDefault="00681B13" w:rsidP="00681B13">
            <w:pPr>
              <w:pStyle w:val="ListParagraph"/>
              <w:numPr>
                <w:ilvl w:val="0"/>
                <w:numId w:val="20"/>
              </w:numPr>
              <w:contextualSpacing w:val="0"/>
              <w:jc w:val="left"/>
              <w:rPr>
                <w:b/>
                <w:bCs/>
                <w:color w:val="FFFFFF" w:themeColor="background1"/>
              </w:rPr>
            </w:pPr>
            <w:r w:rsidRPr="00681B13">
              <w:rPr>
                <w:b/>
                <w:bCs/>
                <w:color w:val="FFFFFF" w:themeColor="background1"/>
              </w:rPr>
              <w:t>Tackle Crime and Anti-Social Behaviour</w:t>
            </w:r>
          </w:p>
        </w:tc>
      </w:tr>
      <w:tr w:rsidR="00681B13" w14:paraId="4C2AAFC3" w14:textId="77777777" w:rsidTr="00BB49A9">
        <w:trPr>
          <w:trHeight w:val="397"/>
        </w:trPr>
        <w:tc>
          <w:tcPr>
            <w:tcW w:w="5870" w:type="dxa"/>
            <w:shd w:val="clear" w:color="auto" w:fill="FF0066"/>
            <w:vAlign w:val="center"/>
          </w:tcPr>
          <w:p w14:paraId="15F3FC81" w14:textId="7BABB742" w:rsidR="00681B13" w:rsidRPr="00681B13" w:rsidRDefault="00681B13" w:rsidP="00681B13">
            <w:pPr>
              <w:pStyle w:val="ListParagraph"/>
              <w:numPr>
                <w:ilvl w:val="0"/>
                <w:numId w:val="20"/>
              </w:numPr>
              <w:contextualSpacing w:val="0"/>
              <w:jc w:val="left"/>
              <w:rPr>
                <w:b/>
                <w:bCs/>
                <w:color w:val="FFFFFF" w:themeColor="background1"/>
              </w:rPr>
            </w:pPr>
            <w:r w:rsidRPr="00681B13">
              <w:rPr>
                <w:b/>
                <w:bCs/>
                <w:color w:val="FFFFFF" w:themeColor="background1"/>
              </w:rPr>
              <w:t>Get tough on Serious Violent Crime</w:t>
            </w:r>
          </w:p>
        </w:tc>
      </w:tr>
      <w:tr w:rsidR="00681B13" w14:paraId="1B5BA42B" w14:textId="77777777" w:rsidTr="00BB49A9">
        <w:trPr>
          <w:trHeight w:val="397"/>
        </w:trPr>
        <w:tc>
          <w:tcPr>
            <w:tcW w:w="5870" w:type="dxa"/>
            <w:shd w:val="clear" w:color="auto" w:fill="FF0066"/>
            <w:vAlign w:val="center"/>
          </w:tcPr>
          <w:p w14:paraId="1CA5AFF2" w14:textId="5CD05F0B" w:rsidR="00681B13" w:rsidRPr="00681B13" w:rsidRDefault="00681B13" w:rsidP="00681B13">
            <w:pPr>
              <w:pStyle w:val="ListParagraph"/>
              <w:numPr>
                <w:ilvl w:val="0"/>
                <w:numId w:val="20"/>
              </w:numPr>
              <w:contextualSpacing w:val="0"/>
              <w:jc w:val="left"/>
              <w:rPr>
                <w:b/>
                <w:bCs/>
                <w:color w:val="FFFFFF" w:themeColor="background1"/>
              </w:rPr>
            </w:pPr>
            <w:r w:rsidRPr="00681B13">
              <w:rPr>
                <w:b/>
                <w:bCs/>
                <w:color w:val="FFFFFF" w:themeColor="background1"/>
              </w:rPr>
              <w:t>Rebuild Public Trust and Confidence</w:t>
            </w:r>
          </w:p>
        </w:tc>
      </w:tr>
    </w:tbl>
    <w:p w14:paraId="10FBBE1D" w14:textId="46E1D539" w:rsidR="007421BC" w:rsidRDefault="007421BC" w:rsidP="007421BC">
      <w:pPr>
        <w:pStyle w:val="ListParagraph"/>
        <w:spacing w:after="120"/>
        <w:ind w:left="788"/>
        <w:contextualSpacing w:val="0"/>
      </w:pPr>
    </w:p>
    <w:p w14:paraId="3BE771D3" w14:textId="5653181A" w:rsidR="007D4475" w:rsidRPr="009B6C52" w:rsidRDefault="007D4475" w:rsidP="00B03D05">
      <w:pPr>
        <w:pStyle w:val="ListParagraph"/>
        <w:numPr>
          <w:ilvl w:val="1"/>
          <w:numId w:val="3"/>
        </w:numPr>
        <w:spacing w:after="120"/>
        <w:ind w:left="788" w:hanging="431"/>
        <w:contextualSpacing w:val="0"/>
        <w:rPr>
          <w:szCs w:val="22"/>
        </w:rPr>
      </w:pPr>
      <w:r w:rsidRPr="009B6C52">
        <w:rPr>
          <w:szCs w:val="22"/>
        </w:rPr>
        <w:t xml:space="preserve">This is the annual review of the </w:t>
      </w:r>
      <w:r w:rsidR="008369E1" w:rsidRPr="009B6C52">
        <w:rPr>
          <w:szCs w:val="22"/>
        </w:rPr>
        <w:t>PCC</w:t>
      </w:r>
      <w:r w:rsidRPr="009B6C52">
        <w:rPr>
          <w:szCs w:val="22"/>
        </w:rPr>
        <w:t>’s Medium Term Financial Strategy (MTFS</w:t>
      </w:r>
      <w:r w:rsidR="008366B4">
        <w:rPr>
          <w:szCs w:val="22"/>
        </w:rPr>
        <w:t xml:space="preserve"> or "the Strategy"</w:t>
      </w:r>
      <w:r w:rsidRPr="009B6C52">
        <w:rPr>
          <w:szCs w:val="22"/>
        </w:rPr>
        <w:t xml:space="preserve">). It is based on a financial forecast over a rolling </w:t>
      </w:r>
      <w:r w:rsidR="007C614E">
        <w:rPr>
          <w:szCs w:val="22"/>
        </w:rPr>
        <w:t>three</w:t>
      </w:r>
      <w:r w:rsidRPr="009B6C52">
        <w:rPr>
          <w:szCs w:val="22"/>
        </w:rPr>
        <w:t>-year timeframe from 202</w:t>
      </w:r>
      <w:r w:rsidR="007C614E">
        <w:rPr>
          <w:szCs w:val="22"/>
        </w:rPr>
        <w:t>6/27</w:t>
      </w:r>
      <w:r w:rsidR="00681B13">
        <w:rPr>
          <w:szCs w:val="22"/>
        </w:rPr>
        <w:t xml:space="preserve"> to 2028/29</w:t>
      </w:r>
      <w:r w:rsidRPr="009B6C52">
        <w:rPr>
          <w:szCs w:val="22"/>
        </w:rPr>
        <w:t xml:space="preserve"> which will help ensure resources are aligned to the </w:t>
      </w:r>
      <w:r w:rsidR="008369E1" w:rsidRPr="009B6C52">
        <w:rPr>
          <w:szCs w:val="22"/>
        </w:rPr>
        <w:t>priorities in the Police and Crime plan</w:t>
      </w:r>
      <w:r w:rsidRPr="009B6C52">
        <w:rPr>
          <w:szCs w:val="22"/>
        </w:rPr>
        <w:t xml:space="preserve">. The MTFS sets the financial context for the </w:t>
      </w:r>
      <w:r w:rsidR="008369E1" w:rsidRPr="009B6C52">
        <w:rPr>
          <w:szCs w:val="22"/>
        </w:rPr>
        <w:t>PCC and Chief Constable</w:t>
      </w:r>
      <w:r w:rsidRPr="009B6C52">
        <w:rPr>
          <w:szCs w:val="22"/>
        </w:rPr>
        <w:t xml:space="preserve">’s </w:t>
      </w:r>
      <w:r w:rsidR="008369E1" w:rsidRPr="009B6C52">
        <w:rPr>
          <w:szCs w:val="22"/>
        </w:rPr>
        <w:t xml:space="preserve">annual </w:t>
      </w:r>
      <w:r w:rsidRPr="009B6C52">
        <w:rPr>
          <w:szCs w:val="22"/>
        </w:rPr>
        <w:t>resource allocation process and budget setting.</w:t>
      </w:r>
    </w:p>
    <w:p w14:paraId="1188787C" w14:textId="44D67524" w:rsidR="007D4475" w:rsidRPr="009B6C52" w:rsidRDefault="007D4475" w:rsidP="00B03D05">
      <w:pPr>
        <w:pStyle w:val="ListParagraph"/>
        <w:numPr>
          <w:ilvl w:val="1"/>
          <w:numId w:val="3"/>
        </w:numPr>
        <w:spacing w:after="120"/>
        <w:ind w:left="788" w:hanging="431"/>
        <w:contextualSpacing w:val="0"/>
        <w:rPr>
          <w:szCs w:val="22"/>
        </w:rPr>
      </w:pPr>
      <w:r w:rsidRPr="009B6C52">
        <w:rPr>
          <w:szCs w:val="22"/>
        </w:rPr>
        <w:t xml:space="preserve">Reviewing the MTFS remains essential to ensuring the </w:t>
      </w:r>
      <w:r w:rsidR="008369E1" w:rsidRPr="009B6C52">
        <w:rPr>
          <w:szCs w:val="22"/>
        </w:rPr>
        <w:t>PCC and Constabulary</w:t>
      </w:r>
      <w:r w:rsidRPr="009B6C52">
        <w:rPr>
          <w:szCs w:val="22"/>
        </w:rPr>
        <w:t xml:space="preserve">’s medium term financial sustainability. </w:t>
      </w:r>
      <w:r w:rsidR="008369E1" w:rsidRPr="009B6C52">
        <w:rPr>
          <w:szCs w:val="22"/>
        </w:rPr>
        <w:t>Over the last ten years the PCC and Constabulary</w:t>
      </w:r>
      <w:r w:rsidRPr="009B6C52">
        <w:rPr>
          <w:szCs w:val="22"/>
        </w:rPr>
        <w:t xml:space="preserve"> ha</w:t>
      </w:r>
      <w:r w:rsidR="008369E1" w:rsidRPr="009B6C52">
        <w:rPr>
          <w:szCs w:val="22"/>
        </w:rPr>
        <w:t>ve</w:t>
      </w:r>
      <w:r w:rsidRPr="009B6C52">
        <w:rPr>
          <w:szCs w:val="22"/>
        </w:rPr>
        <w:t xml:space="preserve"> responded to the financial challenges in a planned way through </w:t>
      </w:r>
      <w:r w:rsidR="008369E1" w:rsidRPr="009B6C52">
        <w:rPr>
          <w:szCs w:val="22"/>
        </w:rPr>
        <w:t>an on-going process of financial monitoring and 'business planning' recognising the resources available, managing demand for the service, identifying future financial pressures, recognising the impact of council tax increases and</w:t>
      </w:r>
      <w:r w:rsidRPr="009B6C52">
        <w:rPr>
          <w:szCs w:val="22"/>
        </w:rPr>
        <w:t xml:space="preserve"> </w:t>
      </w:r>
      <w:r w:rsidR="008369E1" w:rsidRPr="009B6C52">
        <w:rPr>
          <w:szCs w:val="22"/>
        </w:rPr>
        <w:t>delivering</w:t>
      </w:r>
      <w:r w:rsidRPr="009B6C52">
        <w:rPr>
          <w:szCs w:val="22"/>
        </w:rPr>
        <w:t xml:space="preserve"> savings</w:t>
      </w:r>
      <w:r w:rsidR="008369E1" w:rsidRPr="009B6C52">
        <w:rPr>
          <w:szCs w:val="22"/>
        </w:rPr>
        <w:t xml:space="preserve"> and </w:t>
      </w:r>
      <w:r w:rsidRPr="009B6C52">
        <w:rPr>
          <w:szCs w:val="22"/>
        </w:rPr>
        <w:t>efficiencies.</w:t>
      </w:r>
    </w:p>
    <w:p w14:paraId="22F639C4" w14:textId="1A89E73B" w:rsidR="007D4475" w:rsidRPr="009B6C52" w:rsidRDefault="003710E9" w:rsidP="00B03D05">
      <w:pPr>
        <w:pStyle w:val="ListParagraph"/>
        <w:numPr>
          <w:ilvl w:val="1"/>
          <w:numId w:val="3"/>
        </w:numPr>
        <w:spacing w:after="120"/>
        <w:ind w:left="788" w:hanging="431"/>
        <w:contextualSpacing w:val="0"/>
        <w:rPr>
          <w:szCs w:val="22"/>
        </w:rPr>
      </w:pPr>
      <w:r w:rsidRPr="009B6C52">
        <w:rPr>
          <w:szCs w:val="22"/>
        </w:rPr>
        <w:t>PCCs</w:t>
      </w:r>
      <w:r w:rsidR="007D4475" w:rsidRPr="009B6C52">
        <w:rPr>
          <w:szCs w:val="22"/>
        </w:rPr>
        <w:t xml:space="preserve"> are legally obliged to set a balanced budget each year and to ensure they have enough reserves to cover any unexpected events. Therefore, to legally balance the budget the </w:t>
      </w:r>
      <w:r w:rsidRPr="009B6C52">
        <w:rPr>
          <w:szCs w:val="22"/>
        </w:rPr>
        <w:t>PCC</w:t>
      </w:r>
      <w:r w:rsidR="007D4475" w:rsidRPr="009B6C52">
        <w:rPr>
          <w:szCs w:val="22"/>
        </w:rPr>
        <w:t xml:space="preserve"> must make spending plans affordable by matching it to the estimated funding available over that time. The gap between the two amounts is referred to as the “funding gap”. Thus, the funding gap is a combination of the best estimate of the future budget needed to cover rising cost pressures and demands for services alongside </w:t>
      </w:r>
      <w:r w:rsidRPr="009B6C52">
        <w:rPr>
          <w:szCs w:val="22"/>
        </w:rPr>
        <w:t>the forecast level of resources available</w:t>
      </w:r>
      <w:r w:rsidR="007D4475" w:rsidRPr="009B6C52">
        <w:rPr>
          <w:szCs w:val="22"/>
        </w:rPr>
        <w:t>.</w:t>
      </w:r>
    </w:p>
    <w:p w14:paraId="34DA9D0C" w14:textId="4661A7A4" w:rsidR="007D4475" w:rsidRPr="009B6C52" w:rsidRDefault="007D4475" w:rsidP="00B03D05">
      <w:pPr>
        <w:pStyle w:val="ListParagraph"/>
        <w:numPr>
          <w:ilvl w:val="1"/>
          <w:numId w:val="3"/>
        </w:numPr>
        <w:spacing w:after="120"/>
        <w:ind w:left="788" w:hanging="431"/>
        <w:contextualSpacing w:val="0"/>
        <w:rPr>
          <w:szCs w:val="22"/>
        </w:rPr>
      </w:pPr>
      <w:r w:rsidRPr="009B6C52">
        <w:rPr>
          <w:szCs w:val="22"/>
        </w:rPr>
        <w:t>Based on local estimates outlined in this report, th</w:t>
      </w:r>
      <w:r w:rsidR="003710E9" w:rsidRPr="009B6C52">
        <w:rPr>
          <w:szCs w:val="22"/>
        </w:rPr>
        <w:t>e PCC</w:t>
      </w:r>
      <w:r w:rsidRPr="009B6C52">
        <w:rPr>
          <w:szCs w:val="22"/>
        </w:rPr>
        <w:t xml:space="preserve"> </w:t>
      </w:r>
      <w:r w:rsidR="007E1924">
        <w:rPr>
          <w:szCs w:val="22"/>
        </w:rPr>
        <w:t>forecasts</w:t>
      </w:r>
      <w:r w:rsidRPr="009B6C52">
        <w:rPr>
          <w:szCs w:val="22"/>
        </w:rPr>
        <w:t xml:space="preserve"> that a f</w:t>
      </w:r>
      <w:r w:rsidR="00CF2186">
        <w:rPr>
          <w:szCs w:val="22"/>
        </w:rPr>
        <w:t>unding</w:t>
      </w:r>
      <w:r w:rsidRPr="009B6C52">
        <w:rPr>
          <w:szCs w:val="22"/>
        </w:rPr>
        <w:t xml:space="preserve"> gap </w:t>
      </w:r>
      <w:r w:rsidR="007E1924">
        <w:rPr>
          <w:szCs w:val="22"/>
        </w:rPr>
        <w:t xml:space="preserve">in the region </w:t>
      </w:r>
      <w:r w:rsidRPr="009B6C52">
        <w:rPr>
          <w:szCs w:val="22"/>
        </w:rPr>
        <w:t>of £</w:t>
      </w:r>
      <w:r w:rsidR="007E1924">
        <w:rPr>
          <w:szCs w:val="22"/>
        </w:rPr>
        <w:t>1</w:t>
      </w:r>
      <w:r w:rsidR="007C614E">
        <w:rPr>
          <w:szCs w:val="22"/>
        </w:rPr>
        <w:t>0.5</w:t>
      </w:r>
      <w:r w:rsidR="007E1924">
        <w:rPr>
          <w:szCs w:val="22"/>
        </w:rPr>
        <w:t>m</w:t>
      </w:r>
      <w:r w:rsidRPr="009B6C52">
        <w:rPr>
          <w:szCs w:val="22"/>
        </w:rPr>
        <w:t xml:space="preserve"> to 202</w:t>
      </w:r>
      <w:r w:rsidR="007E1924">
        <w:rPr>
          <w:szCs w:val="22"/>
        </w:rPr>
        <w:t>8/29</w:t>
      </w:r>
      <w:r w:rsidR="00CF2186">
        <w:rPr>
          <w:szCs w:val="22"/>
        </w:rPr>
        <w:t xml:space="preserve"> needs to be met</w:t>
      </w:r>
      <w:r w:rsidRPr="009B6C52">
        <w:rPr>
          <w:szCs w:val="22"/>
        </w:rPr>
        <w:t>. This gap can be summarised as follows:</w:t>
      </w:r>
    </w:p>
    <w:tbl>
      <w:tblPr>
        <w:tblStyle w:val="TableGrid"/>
        <w:tblW w:w="0" w:type="auto"/>
        <w:tblInd w:w="792" w:type="dxa"/>
        <w:tblLook w:val="04A0" w:firstRow="1" w:lastRow="0" w:firstColumn="1" w:lastColumn="0" w:noHBand="0" w:noVBand="1"/>
      </w:tblPr>
      <w:tblGrid>
        <w:gridCol w:w="2551"/>
        <w:gridCol w:w="1012"/>
        <w:gridCol w:w="1012"/>
        <w:gridCol w:w="1012"/>
        <w:gridCol w:w="889"/>
      </w:tblGrid>
      <w:tr w:rsidR="007C614E" w:rsidRPr="00E00C79" w14:paraId="282210BC" w14:textId="6DA81B80" w:rsidTr="00893E74">
        <w:trPr>
          <w:trHeight w:val="283"/>
        </w:trPr>
        <w:tc>
          <w:tcPr>
            <w:tcW w:w="0" w:type="auto"/>
            <w:noWrap/>
            <w:hideMark/>
          </w:tcPr>
          <w:p w14:paraId="4C568BE6" w14:textId="77777777" w:rsidR="007C614E" w:rsidRPr="00E00C79" w:rsidRDefault="007C614E" w:rsidP="00A2143E">
            <w:pPr>
              <w:rPr>
                <w:b/>
                <w:bCs/>
                <w:sz w:val="22"/>
                <w:u w:val="single"/>
              </w:rPr>
            </w:pPr>
          </w:p>
        </w:tc>
        <w:tc>
          <w:tcPr>
            <w:tcW w:w="0" w:type="auto"/>
            <w:noWrap/>
            <w:hideMark/>
          </w:tcPr>
          <w:p w14:paraId="0C85519D" w14:textId="6DD3EF6E" w:rsidR="007C614E" w:rsidRPr="00E00C79" w:rsidRDefault="007C614E" w:rsidP="00A2143E">
            <w:pPr>
              <w:jc w:val="center"/>
              <w:rPr>
                <w:b/>
                <w:bCs/>
                <w:sz w:val="22"/>
              </w:rPr>
            </w:pPr>
            <w:r>
              <w:rPr>
                <w:b/>
                <w:bCs/>
                <w:sz w:val="22"/>
              </w:rPr>
              <w:t>2026/27</w:t>
            </w:r>
          </w:p>
        </w:tc>
        <w:tc>
          <w:tcPr>
            <w:tcW w:w="0" w:type="auto"/>
            <w:noWrap/>
            <w:hideMark/>
          </w:tcPr>
          <w:p w14:paraId="7198B751" w14:textId="3337EA4B" w:rsidR="007C614E" w:rsidRPr="00E00C79" w:rsidRDefault="007C614E" w:rsidP="00A2143E">
            <w:pPr>
              <w:jc w:val="center"/>
              <w:rPr>
                <w:b/>
                <w:bCs/>
                <w:sz w:val="22"/>
              </w:rPr>
            </w:pPr>
            <w:r>
              <w:rPr>
                <w:b/>
                <w:bCs/>
                <w:sz w:val="22"/>
              </w:rPr>
              <w:t>2027/28</w:t>
            </w:r>
          </w:p>
        </w:tc>
        <w:tc>
          <w:tcPr>
            <w:tcW w:w="0" w:type="auto"/>
          </w:tcPr>
          <w:p w14:paraId="0ABDA2FA" w14:textId="0AA354FB" w:rsidR="007C614E" w:rsidRPr="00E00C79" w:rsidRDefault="007C614E" w:rsidP="00A2143E">
            <w:pPr>
              <w:jc w:val="center"/>
              <w:rPr>
                <w:b/>
                <w:bCs/>
                <w:sz w:val="22"/>
              </w:rPr>
            </w:pPr>
            <w:r>
              <w:rPr>
                <w:b/>
                <w:bCs/>
                <w:sz w:val="22"/>
              </w:rPr>
              <w:t>2028/29</w:t>
            </w:r>
          </w:p>
        </w:tc>
        <w:tc>
          <w:tcPr>
            <w:tcW w:w="0" w:type="auto"/>
          </w:tcPr>
          <w:p w14:paraId="6533FD53" w14:textId="1D6379EC" w:rsidR="007C614E" w:rsidRPr="00E00C79" w:rsidRDefault="007C614E" w:rsidP="00A2143E">
            <w:pPr>
              <w:jc w:val="center"/>
              <w:rPr>
                <w:b/>
                <w:bCs/>
                <w:sz w:val="22"/>
              </w:rPr>
            </w:pPr>
            <w:r>
              <w:rPr>
                <w:b/>
                <w:bCs/>
                <w:sz w:val="22"/>
              </w:rPr>
              <w:t>Total</w:t>
            </w:r>
          </w:p>
        </w:tc>
      </w:tr>
      <w:tr w:rsidR="007C614E" w:rsidRPr="00E00C79" w14:paraId="5596AD2D" w14:textId="168A54DD" w:rsidTr="00893E74">
        <w:trPr>
          <w:trHeight w:val="227"/>
        </w:trPr>
        <w:tc>
          <w:tcPr>
            <w:tcW w:w="0" w:type="auto"/>
            <w:noWrap/>
            <w:hideMark/>
          </w:tcPr>
          <w:p w14:paraId="3DE8D3D0" w14:textId="77777777" w:rsidR="007C614E" w:rsidRPr="00E00C79" w:rsidRDefault="007C614E" w:rsidP="00A2143E">
            <w:pPr>
              <w:jc w:val="left"/>
              <w:rPr>
                <w:b/>
                <w:bCs/>
                <w:sz w:val="22"/>
              </w:rPr>
            </w:pPr>
          </w:p>
        </w:tc>
        <w:tc>
          <w:tcPr>
            <w:tcW w:w="0" w:type="auto"/>
            <w:noWrap/>
            <w:hideMark/>
          </w:tcPr>
          <w:p w14:paraId="7052B2BE" w14:textId="77777777" w:rsidR="007C614E" w:rsidRPr="00E00C79" w:rsidRDefault="007C614E" w:rsidP="00A2143E">
            <w:pPr>
              <w:jc w:val="center"/>
              <w:rPr>
                <w:b/>
                <w:bCs/>
                <w:sz w:val="22"/>
              </w:rPr>
            </w:pPr>
            <w:r w:rsidRPr="00E00C79">
              <w:rPr>
                <w:b/>
                <w:bCs/>
                <w:sz w:val="22"/>
              </w:rPr>
              <w:t>£m</w:t>
            </w:r>
          </w:p>
        </w:tc>
        <w:tc>
          <w:tcPr>
            <w:tcW w:w="0" w:type="auto"/>
            <w:noWrap/>
            <w:hideMark/>
          </w:tcPr>
          <w:p w14:paraId="2FA00C00" w14:textId="77777777" w:rsidR="007C614E" w:rsidRPr="00E00C79" w:rsidRDefault="007C614E" w:rsidP="00A2143E">
            <w:pPr>
              <w:jc w:val="center"/>
              <w:rPr>
                <w:b/>
                <w:bCs/>
                <w:sz w:val="22"/>
              </w:rPr>
            </w:pPr>
            <w:r w:rsidRPr="00E00C79">
              <w:rPr>
                <w:b/>
                <w:bCs/>
                <w:sz w:val="22"/>
              </w:rPr>
              <w:t>£m</w:t>
            </w:r>
          </w:p>
        </w:tc>
        <w:tc>
          <w:tcPr>
            <w:tcW w:w="0" w:type="auto"/>
          </w:tcPr>
          <w:p w14:paraId="29F921E9" w14:textId="77777777" w:rsidR="007C614E" w:rsidRPr="00E00C79" w:rsidRDefault="007C614E" w:rsidP="00A2143E">
            <w:pPr>
              <w:jc w:val="center"/>
              <w:rPr>
                <w:b/>
                <w:bCs/>
                <w:sz w:val="22"/>
              </w:rPr>
            </w:pPr>
            <w:r w:rsidRPr="00E00C79">
              <w:rPr>
                <w:b/>
                <w:bCs/>
                <w:sz w:val="22"/>
              </w:rPr>
              <w:t>£m</w:t>
            </w:r>
          </w:p>
        </w:tc>
        <w:tc>
          <w:tcPr>
            <w:tcW w:w="0" w:type="auto"/>
          </w:tcPr>
          <w:p w14:paraId="53E6517D" w14:textId="6B88345E" w:rsidR="007C614E" w:rsidRPr="00E00C79" w:rsidRDefault="007C614E" w:rsidP="00A2143E">
            <w:pPr>
              <w:jc w:val="center"/>
              <w:rPr>
                <w:b/>
                <w:bCs/>
                <w:sz w:val="22"/>
              </w:rPr>
            </w:pPr>
            <w:r>
              <w:rPr>
                <w:b/>
                <w:bCs/>
                <w:sz w:val="22"/>
              </w:rPr>
              <w:t>£m</w:t>
            </w:r>
          </w:p>
        </w:tc>
      </w:tr>
      <w:tr w:rsidR="007C614E" w:rsidRPr="00E00C79" w14:paraId="0F354380" w14:textId="45D112E2" w:rsidTr="00CF2186">
        <w:trPr>
          <w:trHeight w:val="488"/>
        </w:trPr>
        <w:tc>
          <w:tcPr>
            <w:tcW w:w="0" w:type="auto"/>
            <w:noWrap/>
            <w:vAlign w:val="center"/>
          </w:tcPr>
          <w:p w14:paraId="107E86C5" w14:textId="77777777" w:rsidR="007C614E" w:rsidRPr="00E00C79" w:rsidRDefault="007C614E" w:rsidP="00A2143E">
            <w:pPr>
              <w:rPr>
                <w:b/>
                <w:bCs/>
                <w:sz w:val="22"/>
              </w:rPr>
            </w:pPr>
            <w:r w:rsidRPr="00E00C79">
              <w:rPr>
                <w:b/>
                <w:bCs/>
                <w:sz w:val="22"/>
              </w:rPr>
              <w:t>Spending requirement</w:t>
            </w:r>
          </w:p>
        </w:tc>
        <w:tc>
          <w:tcPr>
            <w:tcW w:w="0" w:type="auto"/>
            <w:noWrap/>
            <w:vAlign w:val="center"/>
          </w:tcPr>
          <w:p w14:paraId="14B2FC13" w14:textId="55601E50" w:rsidR="007C614E" w:rsidRPr="00E00C79" w:rsidRDefault="007C614E" w:rsidP="00A2143E">
            <w:pPr>
              <w:jc w:val="right"/>
              <w:rPr>
                <w:b/>
                <w:bCs/>
                <w:sz w:val="22"/>
              </w:rPr>
            </w:pPr>
            <w:r>
              <w:rPr>
                <w:b/>
                <w:bCs/>
                <w:sz w:val="22"/>
              </w:rPr>
              <w:t>442.636</w:t>
            </w:r>
          </w:p>
        </w:tc>
        <w:tc>
          <w:tcPr>
            <w:tcW w:w="0" w:type="auto"/>
            <w:noWrap/>
            <w:vAlign w:val="center"/>
          </w:tcPr>
          <w:p w14:paraId="317D2BF0" w14:textId="53381226" w:rsidR="007C614E" w:rsidRPr="00E00C79" w:rsidRDefault="007C614E" w:rsidP="00A2143E">
            <w:pPr>
              <w:jc w:val="right"/>
              <w:rPr>
                <w:b/>
                <w:bCs/>
                <w:sz w:val="22"/>
              </w:rPr>
            </w:pPr>
            <w:r>
              <w:rPr>
                <w:b/>
                <w:bCs/>
                <w:sz w:val="22"/>
              </w:rPr>
              <w:t>461.814</w:t>
            </w:r>
          </w:p>
        </w:tc>
        <w:tc>
          <w:tcPr>
            <w:tcW w:w="0" w:type="auto"/>
            <w:vAlign w:val="center"/>
          </w:tcPr>
          <w:p w14:paraId="2A0B5128" w14:textId="7F13703F" w:rsidR="007C614E" w:rsidRPr="00E00C79" w:rsidRDefault="007C614E" w:rsidP="00A2143E">
            <w:pPr>
              <w:jc w:val="right"/>
              <w:rPr>
                <w:b/>
                <w:bCs/>
                <w:sz w:val="22"/>
              </w:rPr>
            </w:pPr>
            <w:r>
              <w:rPr>
                <w:b/>
                <w:bCs/>
                <w:sz w:val="22"/>
              </w:rPr>
              <w:t>474.634</w:t>
            </w:r>
          </w:p>
        </w:tc>
        <w:tc>
          <w:tcPr>
            <w:tcW w:w="0" w:type="auto"/>
            <w:vAlign w:val="center"/>
          </w:tcPr>
          <w:p w14:paraId="00CE4637" w14:textId="77777777" w:rsidR="007C614E" w:rsidRDefault="007C614E" w:rsidP="00CF2186">
            <w:pPr>
              <w:jc w:val="right"/>
              <w:rPr>
                <w:b/>
                <w:bCs/>
                <w:sz w:val="22"/>
              </w:rPr>
            </w:pPr>
          </w:p>
        </w:tc>
      </w:tr>
      <w:tr w:rsidR="007C614E" w:rsidRPr="00E00C79" w14:paraId="17FEA48E" w14:textId="046864DB" w:rsidTr="00CF2186">
        <w:trPr>
          <w:trHeight w:val="491"/>
        </w:trPr>
        <w:tc>
          <w:tcPr>
            <w:tcW w:w="0" w:type="auto"/>
            <w:noWrap/>
            <w:vAlign w:val="center"/>
          </w:tcPr>
          <w:p w14:paraId="096B426C" w14:textId="77777777" w:rsidR="007C614E" w:rsidRPr="00E00C79" w:rsidRDefault="007C614E" w:rsidP="00A2143E">
            <w:pPr>
              <w:rPr>
                <w:b/>
                <w:bCs/>
                <w:sz w:val="22"/>
              </w:rPr>
            </w:pPr>
            <w:r w:rsidRPr="00E00C79">
              <w:rPr>
                <w:b/>
                <w:bCs/>
                <w:sz w:val="22"/>
              </w:rPr>
              <w:t>Resources</w:t>
            </w:r>
          </w:p>
        </w:tc>
        <w:tc>
          <w:tcPr>
            <w:tcW w:w="0" w:type="auto"/>
            <w:noWrap/>
            <w:vAlign w:val="center"/>
          </w:tcPr>
          <w:p w14:paraId="0F42F964" w14:textId="704718B6" w:rsidR="007C614E" w:rsidRPr="00E00C79" w:rsidRDefault="007C614E" w:rsidP="00A2143E">
            <w:pPr>
              <w:jc w:val="right"/>
              <w:rPr>
                <w:b/>
                <w:bCs/>
                <w:sz w:val="22"/>
              </w:rPr>
            </w:pPr>
            <w:r>
              <w:rPr>
                <w:b/>
                <w:bCs/>
                <w:sz w:val="22"/>
              </w:rPr>
              <w:t>442.636</w:t>
            </w:r>
          </w:p>
        </w:tc>
        <w:tc>
          <w:tcPr>
            <w:tcW w:w="0" w:type="auto"/>
            <w:noWrap/>
            <w:vAlign w:val="center"/>
          </w:tcPr>
          <w:p w14:paraId="1766221C" w14:textId="6BB2026D" w:rsidR="007C614E" w:rsidRPr="00E00C79" w:rsidRDefault="007C614E" w:rsidP="00A2143E">
            <w:pPr>
              <w:jc w:val="right"/>
              <w:rPr>
                <w:b/>
                <w:bCs/>
                <w:sz w:val="22"/>
              </w:rPr>
            </w:pPr>
            <w:r>
              <w:rPr>
                <w:b/>
                <w:bCs/>
                <w:sz w:val="22"/>
              </w:rPr>
              <w:t>455.760</w:t>
            </w:r>
          </w:p>
        </w:tc>
        <w:tc>
          <w:tcPr>
            <w:tcW w:w="0" w:type="auto"/>
            <w:vAlign w:val="center"/>
          </w:tcPr>
          <w:p w14:paraId="4437492A" w14:textId="74A673C0" w:rsidR="007C614E" w:rsidRPr="00E00C79" w:rsidRDefault="007C614E" w:rsidP="00A2143E">
            <w:pPr>
              <w:jc w:val="right"/>
              <w:rPr>
                <w:b/>
                <w:bCs/>
                <w:sz w:val="22"/>
              </w:rPr>
            </w:pPr>
            <w:r>
              <w:rPr>
                <w:b/>
                <w:bCs/>
                <w:sz w:val="22"/>
              </w:rPr>
              <w:t>470.165</w:t>
            </w:r>
          </w:p>
        </w:tc>
        <w:tc>
          <w:tcPr>
            <w:tcW w:w="0" w:type="auto"/>
            <w:vAlign w:val="center"/>
          </w:tcPr>
          <w:p w14:paraId="33F1D3DE" w14:textId="77777777" w:rsidR="007C614E" w:rsidRDefault="007C614E" w:rsidP="00CF2186">
            <w:pPr>
              <w:jc w:val="right"/>
              <w:rPr>
                <w:b/>
                <w:bCs/>
                <w:sz w:val="22"/>
              </w:rPr>
            </w:pPr>
          </w:p>
        </w:tc>
      </w:tr>
      <w:tr w:rsidR="007C614E" w:rsidRPr="00E00C79" w14:paraId="24E36942" w14:textId="5F59B45C" w:rsidTr="00C81BFE">
        <w:trPr>
          <w:trHeight w:val="491"/>
        </w:trPr>
        <w:tc>
          <w:tcPr>
            <w:tcW w:w="0" w:type="auto"/>
            <w:shd w:val="clear" w:color="auto" w:fill="B4C6E7" w:themeFill="accent5" w:themeFillTint="66"/>
            <w:noWrap/>
            <w:vAlign w:val="center"/>
          </w:tcPr>
          <w:p w14:paraId="1EFB9C54" w14:textId="77777777" w:rsidR="007C614E" w:rsidRPr="00E00C79" w:rsidRDefault="007C614E" w:rsidP="00A2143E">
            <w:pPr>
              <w:rPr>
                <w:b/>
                <w:bCs/>
                <w:sz w:val="22"/>
              </w:rPr>
            </w:pPr>
            <w:r w:rsidRPr="00E00C79">
              <w:rPr>
                <w:b/>
                <w:bCs/>
                <w:sz w:val="22"/>
              </w:rPr>
              <w:t>Funding gap</w:t>
            </w:r>
          </w:p>
        </w:tc>
        <w:tc>
          <w:tcPr>
            <w:tcW w:w="0" w:type="auto"/>
            <w:shd w:val="clear" w:color="auto" w:fill="B4C6E7" w:themeFill="accent5" w:themeFillTint="66"/>
            <w:noWrap/>
            <w:vAlign w:val="center"/>
          </w:tcPr>
          <w:p w14:paraId="2D95E716" w14:textId="6F3F6BE8" w:rsidR="007C614E" w:rsidRPr="00E00C79" w:rsidRDefault="007C614E" w:rsidP="00A2143E">
            <w:pPr>
              <w:jc w:val="right"/>
              <w:rPr>
                <w:b/>
                <w:bCs/>
                <w:sz w:val="22"/>
              </w:rPr>
            </w:pPr>
            <w:r>
              <w:rPr>
                <w:b/>
                <w:bCs/>
                <w:sz w:val="22"/>
              </w:rPr>
              <w:t>0</w:t>
            </w:r>
          </w:p>
        </w:tc>
        <w:tc>
          <w:tcPr>
            <w:tcW w:w="0" w:type="auto"/>
            <w:shd w:val="clear" w:color="auto" w:fill="B4C6E7" w:themeFill="accent5" w:themeFillTint="66"/>
            <w:noWrap/>
            <w:vAlign w:val="center"/>
          </w:tcPr>
          <w:p w14:paraId="6ACEFACD" w14:textId="2544C354" w:rsidR="007C614E" w:rsidRPr="00E00C79" w:rsidRDefault="007C614E" w:rsidP="00A2143E">
            <w:pPr>
              <w:jc w:val="right"/>
              <w:rPr>
                <w:b/>
                <w:bCs/>
                <w:sz w:val="22"/>
              </w:rPr>
            </w:pPr>
            <w:r>
              <w:rPr>
                <w:b/>
                <w:bCs/>
                <w:sz w:val="22"/>
              </w:rPr>
              <w:t>6.054</w:t>
            </w:r>
          </w:p>
        </w:tc>
        <w:tc>
          <w:tcPr>
            <w:tcW w:w="0" w:type="auto"/>
            <w:shd w:val="clear" w:color="auto" w:fill="B4C6E7" w:themeFill="accent5" w:themeFillTint="66"/>
            <w:vAlign w:val="center"/>
          </w:tcPr>
          <w:p w14:paraId="21787313" w14:textId="4B002A90" w:rsidR="007C614E" w:rsidRPr="00E00C79" w:rsidRDefault="007C614E" w:rsidP="00A2143E">
            <w:pPr>
              <w:jc w:val="right"/>
              <w:rPr>
                <w:b/>
                <w:bCs/>
                <w:sz w:val="22"/>
              </w:rPr>
            </w:pPr>
            <w:r>
              <w:rPr>
                <w:b/>
                <w:bCs/>
                <w:sz w:val="22"/>
              </w:rPr>
              <w:t>4.469</w:t>
            </w:r>
          </w:p>
        </w:tc>
        <w:tc>
          <w:tcPr>
            <w:tcW w:w="0" w:type="auto"/>
            <w:shd w:val="clear" w:color="auto" w:fill="B4C6E7" w:themeFill="accent5" w:themeFillTint="66"/>
            <w:vAlign w:val="center"/>
          </w:tcPr>
          <w:p w14:paraId="0F691DA1" w14:textId="3E4BD8FD" w:rsidR="007C614E" w:rsidRDefault="007C614E" w:rsidP="00CF2186">
            <w:pPr>
              <w:jc w:val="right"/>
              <w:rPr>
                <w:b/>
                <w:bCs/>
                <w:sz w:val="22"/>
              </w:rPr>
            </w:pPr>
            <w:r>
              <w:rPr>
                <w:b/>
                <w:bCs/>
                <w:sz w:val="22"/>
              </w:rPr>
              <w:fldChar w:fldCharType="begin"/>
            </w:r>
            <w:r>
              <w:rPr>
                <w:b/>
                <w:bCs/>
                <w:sz w:val="22"/>
              </w:rPr>
              <w:instrText xml:space="preserve"> =SUM(LEFT) </w:instrText>
            </w:r>
            <w:r>
              <w:rPr>
                <w:b/>
                <w:bCs/>
                <w:sz w:val="22"/>
              </w:rPr>
              <w:fldChar w:fldCharType="separate"/>
            </w:r>
            <w:r>
              <w:rPr>
                <w:b/>
                <w:bCs/>
                <w:noProof/>
                <w:sz w:val="22"/>
              </w:rPr>
              <w:t>10.523</w:t>
            </w:r>
            <w:r>
              <w:rPr>
                <w:b/>
                <w:bCs/>
                <w:sz w:val="22"/>
              </w:rPr>
              <w:fldChar w:fldCharType="end"/>
            </w:r>
          </w:p>
        </w:tc>
      </w:tr>
    </w:tbl>
    <w:p w14:paraId="0BBC442B" w14:textId="77777777" w:rsidR="007D4475" w:rsidRPr="009B6C52" w:rsidRDefault="007D4475" w:rsidP="007D4475">
      <w:pPr>
        <w:pStyle w:val="ListParagraph"/>
        <w:spacing w:after="120"/>
        <w:ind w:left="788"/>
        <w:contextualSpacing w:val="0"/>
        <w:rPr>
          <w:szCs w:val="22"/>
        </w:rPr>
      </w:pPr>
    </w:p>
    <w:p w14:paraId="03B8D768" w14:textId="77777777" w:rsidR="00981286" w:rsidRPr="009B6C52" w:rsidRDefault="007D4475" w:rsidP="00B03D05">
      <w:pPr>
        <w:pStyle w:val="ListParagraph"/>
        <w:numPr>
          <w:ilvl w:val="1"/>
          <w:numId w:val="3"/>
        </w:numPr>
        <w:autoSpaceDE w:val="0"/>
        <w:autoSpaceDN w:val="0"/>
        <w:adjustRightInd w:val="0"/>
        <w:spacing w:after="120"/>
        <w:ind w:left="788" w:hanging="431"/>
        <w:contextualSpacing w:val="0"/>
        <w:rPr>
          <w:szCs w:val="22"/>
        </w:rPr>
      </w:pPr>
      <w:r w:rsidRPr="009B6C52">
        <w:rPr>
          <w:szCs w:val="22"/>
        </w:rPr>
        <w:t xml:space="preserve">The </w:t>
      </w:r>
      <w:r w:rsidR="003710E9" w:rsidRPr="009B6C52">
        <w:rPr>
          <w:szCs w:val="22"/>
        </w:rPr>
        <w:t>PCC</w:t>
      </w:r>
      <w:r w:rsidRPr="009B6C52">
        <w:rPr>
          <w:szCs w:val="22"/>
        </w:rPr>
        <w:t xml:space="preserve"> will continue to have significant revenue and capital budgets to invest and deliver </w:t>
      </w:r>
      <w:r w:rsidR="003710E9" w:rsidRPr="009B6C52">
        <w:rPr>
          <w:szCs w:val="22"/>
        </w:rPr>
        <w:t xml:space="preserve">the Police and Crime plan </w:t>
      </w:r>
      <w:r w:rsidRPr="009B6C52">
        <w:rPr>
          <w:szCs w:val="22"/>
        </w:rPr>
        <w:t>priorit</w:t>
      </w:r>
      <w:r w:rsidR="003710E9" w:rsidRPr="009B6C52">
        <w:rPr>
          <w:szCs w:val="22"/>
        </w:rPr>
        <w:t>ies for the citizens of Lancashire and will ensure this is achieved by delivering an efficient and effective police force.</w:t>
      </w:r>
    </w:p>
    <w:p w14:paraId="652C6215" w14:textId="77777777" w:rsidR="00981286" w:rsidRPr="009B6C52" w:rsidRDefault="00981286" w:rsidP="00981286">
      <w:pPr>
        <w:pStyle w:val="ListParagraph"/>
        <w:rPr>
          <w:szCs w:val="22"/>
        </w:rPr>
      </w:pPr>
    </w:p>
    <w:p w14:paraId="65CB855A" w14:textId="59920179" w:rsidR="004862DA" w:rsidRPr="009B6C52" w:rsidRDefault="004862DA" w:rsidP="00981286">
      <w:pPr>
        <w:autoSpaceDE w:val="0"/>
        <w:autoSpaceDN w:val="0"/>
        <w:adjustRightInd w:val="0"/>
        <w:spacing w:after="120"/>
        <w:rPr>
          <w:rFonts w:cs="Times New Roman"/>
          <w:sz w:val="22"/>
        </w:rPr>
      </w:pPr>
    </w:p>
    <w:p w14:paraId="12018FFE" w14:textId="7000B277" w:rsidR="004862DA" w:rsidRPr="00A2143E" w:rsidRDefault="004862DA" w:rsidP="00B03D05">
      <w:pPr>
        <w:pStyle w:val="ListParagraph"/>
        <w:numPr>
          <w:ilvl w:val="0"/>
          <w:numId w:val="3"/>
        </w:numPr>
        <w:spacing w:after="240"/>
        <w:ind w:left="357" w:hanging="357"/>
        <w:contextualSpacing w:val="0"/>
        <w:rPr>
          <w:b/>
          <w:bCs/>
          <w:szCs w:val="22"/>
        </w:rPr>
      </w:pPr>
      <w:r w:rsidRPr="00A2143E">
        <w:rPr>
          <w:b/>
          <w:bCs/>
          <w:szCs w:val="22"/>
        </w:rPr>
        <w:lastRenderedPageBreak/>
        <w:t>Introduction</w:t>
      </w:r>
    </w:p>
    <w:p w14:paraId="535458B5" w14:textId="1959360C" w:rsidR="00C713E2" w:rsidRPr="00A2143E" w:rsidRDefault="00C713E2" w:rsidP="00C713E2">
      <w:pPr>
        <w:autoSpaceDE w:val="0"/>
        <w:autoSpaceDN w:val="0"/>
        <w:adjustRightInd w:val="0"/>
        <w:spacing w:after="120"/>
        <w:rPr>
          <w:rFonts w:ascii="Arial-BoldMT" w:hAnsi="Arial-BoldMT" w:cs="Arial-BoldMT"/>
          <w:b/>
          <w:bCs/>
          <w:sz w:val="22"/>
        </w:rPr>
      </w:pPr>
      <w:r w:rsidRPr="00A2143E">
        <w:rPr>
          <w:rFonts w:ascii="Arial-BoldMT" w:hAnsi="Arial-BoldMT" w:cs="Arial-BoldMT"/>
          <w:b/>
          <w:bCs/>
          <w:sz w:val="22"/>
        </w:rPr>
        <w:t>The Purpose of the Medium-Term Financial Strategy (MTFS)</w:t>
      </w:r>
    </w:p>
    <w:p w14:paraId="64F47EF2" w14:textId="48C77797" w:rsidR="00C713E2" w:rsidRPr="009B6C52" w:rsidRDefault="00C713E2" w:rsidP="00B03D05">
      <w:pPr>
        <w:pStyle w:val="ListParagraph"/>
        <w:numPr>
          <w:ilvl w:val="1"/>
          <w:numId w:val="3"/>
        </w:numPr>
        <w:autoSpaceDE w:val="0"/>
        <w:autoSpaceDN w:val="0"/>
        <w:adjustRightInd w:val="0"/>
        <w:spacing w:after="120"/>
        <w:ind w:left="788" w:hanging="431"/>
        <w:contextualSpacing w:val="0"/>
        <w:rPr>
          <w:szCs w:val="22"/>
        </w:rPr>
      </w:pPr>
      <w:r w:rsidRPr="009B6C52">
        <w:rPr>
          <w:szCs w:val="22"/>
        </w:rPr>
        <w:t xml:space="preserve">The MTFS is a key part of the </w:t>
      </w:r>
      <w:r w:rsidR="00033888">
        <w:rPr>
          <w:szCs w:val="22"/>
        </w:rPr>
        <w:t>PCC</w:t>
      </w:r>
      <w:r w:rsidRPr="009B6C52">
        <w:rPr>
          <w:szCs w:val="22"/>
        </w:rPr>
        <w:t xml:space="preserve">’s Budget and Policy Framework which aims to ensure that all financial resources are directed towards delivery of </w:t>
      </w:r>
      <w:r w:rsidR="00033888">
        <w:rPr>
          <w:szCs w:val="22"/>
        </w:rPr>
        <w:t>the Police and Crime Plan</w:t>
      </w:r>
      <w:r w:rsidRPr="009B6C52">
        <w:rPr>
          <w:szCs w:val="22"/>
        </w:rPr>
        <w:t xml:space="preserve"> priorities. The Strategy describes the financial direction for financial planning purposes and outlines the financial pressures over a </w:t>
      </w:r>
      <w:r w:rsidR="0029414B" w:rsidRPr="009B6C52">
        <w:rPr>
          <w:szCs w:val="22"/>
        </w:rPr>
        <w:t>f</w:t>
      </w:r>
      <w:r w:rsidR="0029414B">
        <w:rPr>
          <w:szCs w:val="22"/>
        </w:rPr>
        <w:t>our-year</w:t>
      </w:r>
      <w:r w:rsidRPr="009B6C52">
        <w:rPr>
          <w:szCs w:val="22"/>
        </w:rPr>
        <w:t xml:space="preserve"> period but is reviewed annually to reflect the dynamic nature of funding.</w:t>
      </w:r>
    </w:p>
    <w:p w14:paraId="7D3D7807" w14:textId="112E1E81" w:rsidR="00C713E2" w:rsidRPr="009B6C52" w:rsidRDefault="00C713E2" w:rsidP="00B03D05">
      <w:pPr>
        <w:pStyle w:val="ListParagraph"/>
        <w:numPr>
          <w:ilvl w:val="1"/>
          <w:numId w:val="3"/>
        </w:numPr>
        <w:autoSpaceDE w:val="0"/>
        <w:autoSpaceDN w:val="0"/>
        <w:adjustRightInd w:val="0"/>
        <w:spacing w:after="120"/>
        <w:ind w:left="788" w:hanging="431"/>
        <w:contextualSpacing w:val="0"/>
        <w:rPr>
          <w:szCs w:val="22"/>
        </w:rPr>
      </w:pPr>
      <w:r w:rsidRPr="009B6C52">
        <w:rPr>
          <w:szCs w:val="22"/>
        </w:rPr>
        <w:t>The MTFS establishes the likely level of revenue resources available over the medium term and estimates the financial consequences of the demand for services. It improves financial planning and strategic financial management through providing the financial context within which the budget will be set.</w:t>
      </w:r>
    </w:p>
    <w:p w14:paraId="406BED3A" w14:textId="780F7016" w:rsidR="00C713E2" w:rsidRPr="009B6C52" w:rsidRDefault="00C713E2" w:rsidP="00B03D05">
      <w:pPr>
        <w:pStyle w:val="ListParagraph"/>
        <w:numPr>
          <w:ilvl w:val="1"/>
          <w:numId w:val="3"/>
        </w:numPr>
        <w:autoSpaceDE w:val="0"/>
        <w:autoSpaceDN w:val="0"/>
        <w:adjustRightInd w:val="0"/>
        <w:spacing w:after="120"/>
        <w:ind w:left="788" w:hanging="431"/>
        <w:contextualSpacing w:val="0"/>
        <w:rPr>
          <w:szCs w:val="22"/>
        </w:rPr>
      </w:pPr>
      <w:r w:rsidRPr="009B6C52">
        <w:rPr>
          <w:szCs w:val="22"/>
        </w:rPr>
        <w:t xml:space="preserve">The review also allows for consideration of the </w:t>
      </w:r>
      <w:r w:rsidR="00033888">
        <w:rPr>
          <w:szCs w:val="22"/>
        </w:rPr>
        <w:t>PCC</w:t>
      </w:r>
      <w:r w:rsidRPr="009B6C52">
        <w:rPr>
          <w:szCs w:val="22"/>
        </w:rPr>
        <w:t>’s reserves policy and level of reserves to ensure there is adequate protection against unforeseen events.</w:t>
      </w:r>
    </w:p>
    <w:p w14:paraId="07788F9C" w14:textId="77777777" w:rsidR="00C713E2" w:rsidRPr="008366B4" w:rsidRDefault="00C713E2" w:rsidP="00374A3A">
      <w:pPr>
        <w:autoSpaceDE w:val="0"/>
        <w:autoSpaceDN w:val="0"/>
        <w:adjustRightInd w:val="0"/>
        <w:spacing w:before="120" w:after="120"/>
        <w:rPr>
          <w:rFonts w:ascii="Arial-BoldMT" w:hAnsi="Arial-BoldMT" w:cs="Arial-BoldMT"/>
          <w:b/>
          <w:bCs/>
          <w:sz w:val="22"/>
        </w:rPr>
      </w:pPr>
      <w:r w:rsidRPr="008366B4">
        <w:rPr>
          <w:rFonts w:ascii="Arial-BoldMT" w:hAnsi="Arial-BoldMT" w:cs="Arial-BoldMT"/>
          <w:b/>
          <w:bCs/>
          <w:sz w:val="22"/>
        </w:rPr>
        <w:t>The Principles of the MTFS</w:t>
      </w:r>
    </w:p>
    <w:p w14:paraId="5FDD2B72" w14:textId="3E7942BD" w:rsidR="00C713E2" w:rsidRPr="009B6C52" w:rsidRDefault="00C713E2" w:rsidP="00B03D05">
      <w:pPr>
        <w:pStyle w:val="ListParagraph"/>
        <w:numPr>
          <w:ilvl w:val="1"/>
          <w:numId w:val="3"/>
        </w:numPr>
        <w:autoSpaceDE w:val="0"/>
        <w:autoSpaceDN w:val="0"/>
        <w:adjustRightInd w:val="0"/>
        <w:spacing w:after="120"/>
        <w:ind w:left="788" w:hanging="431"/>
        <w:contextualSpacing w:val="0"/>
        <w:rPr>
          <w:szCs w:val="22"/>
        </w:rPr>
      </w:pPr>
      <w:r w:rsidRPr="009B6C52">
        <w:rPr>
          <w:szCs w:val="22"/>
        </w:rPr>
        <w:t>The proposed principles underlying the MTFS 202</w:t>
      </w:r>
      <w:r w:rsidR="00646547">
        <w:rPr>
          <w:szCs w:val="22"/>
        </w:rPr>
        <w:t>6</w:t>
      </w:r>
      <w:r w:rsidR="007C614E">
        <w:rPr>
          <w:szCs w:val="22"/>
        </w:rPr>
        <w:t>/27</w:t>
      </w:r>
      <w:r w:rsidRPr="009B6C52">
        <w:rPr>
          <w:szCs w:val="22"/>
        </w:rPr>
        <w:t xml:space="preserve"> to 202</w:t>
      </w:r>
      <w:r w:rsidR="00646547">
        <w:rPr>
          <w:szCs w:val="22"/>
        </w:rPr>
        <w:t>8/29</w:t>
      </w:r>
      <w:r w:rsidRPr="009B6C52">
        <w:rPr>
          <w:szCs w:val="22"/>
        </w:rPr>
        <w:t xml:space="preserve"> are as follows:</w:t>
      </w:r>
    </w:p>
    <w:p w14:paraId="74DDF024" w14:textId="20726395" w:rsidR="00C713E2" w:rsidRPr="009B6C52" w:rsidRDefault="00C713E2" w:rsidP="00B03D05">
      <w:pPr>
        <w:pStyle w:val="ListParagraph"/>
        <w:numPr>
          <w:ilvl w:val="0"/>
          <w:numId w:val="4"/>
        </w:numPr>
        <w:autoSpaceDE w:val="0"/>
        <w:autoSpaceDN w:val="0"/>
        <w:adjustRightInd w:val="0"/>
        <w:ind w:left="1134"/>
        <w:rPr>
          <w:rFonts w:ascii="ArialMT" w:hAnsi="ArialMT" w:cs="ArialMT"/>
          <w:color w:val="000000"/>
          <w:szCs w:val="22"/>
        </w:rPr>
      </w:pPr>
      <w:r w:rsidRPr="009B6C52">
        <w:rPr>
          <w:rFonts w:ascii="ArialMT" w:hAnsi="ArialMT" w:cs="ArialMT"/>
          <w:color w:val="000000"/>
          <w:szCs w:val="22"/>
        </w:rPr>
        <w:t>The overall financial strategy will be to ensure that the PCC’s resources are directed to the delivery of the Police and Crime plan. Financial sustainability will be achieved and maintained through targeted investment, reducing costs and more efficient ways of working. The MTFS will be reviewed on at least an annual basis.</w:t>
      </w:r>
    </w:p>
    <w:p w14:paraId="40F7ED18" w14:textId="2D7F14E4" w:rsidR="00C713E2" w:rsidRPr="009B6C52" w:rsidRDefault="00C713E2" w:rsidP="00B03D05">
      <w:pPr>
        <w:pStyle w:val="ListParagraph"/>
        <w:numPr>
          <w:ilvl w:val="0"/>
          <w:numId w:val="4"/>
        </w:numPr>
        <w:autoSpaceDE w:val="0"/>
        <w:autoSpaceDN w:val="0"/>
        <w:adjustRightInd w:val="0"/>
        <w:ind w:left="1134"/>
        <w:rPr>
          <w:rFonts w:ascii="ArialMT" w:hAnsi="ArialMT" w:cs="ArialMT"/>
          <w:color w:val="000000"/>
          <w:szCs w:val="22"/>
        </w:rPr>
      </w:pPr>
      <w:r w:rsidRPr="009B6C52">
        <w:rPr>
          <w:rFonts w:ascii="ArialMT" w:hAnsi="ArialMT" w:cs="ArialMT"/>
          <w:color w:val="000000"/>
          <w:szCs w:val="22"/>
        </w:rPr>
        <w:t xml:space="preserve">The PCC and Chief Constable will consider a range of delivery mechanisms and funding sources to support capital investment to deliver the priorities, including the use of prudential borrowing, and will ensure that the full costs associated with financing the investment are </w:t>
      </w:r>
      <w:proofErr w:type="gramStart"/>
      <w:r w:rsidRPr="009B6C52">
        <w:rPr>
          <w:rFonts w:ascii="ArialMT" w:hAnsi="ArialMT" w:cs="ArialMT"/>
          <w:color w:val="000000"/>
          <w:szCs w:val="22"/>
        </w:rPr>
        <w:t>taken into account</w:t>
      </w:r>
      <w:proofErr w:type="gramEnd"/>
      <w:r w:rsidRPr="009B6C52">
        <w:rPr>
          <w:rFonts w:ascii="ArialMT" w:hAnsi="ArialMT" w:cs="ArialMT"/>
          <w:color w:val="000000"/>
          <w:szCs w:val="22"/>
        </w:rPr>
        <w:t xml:space="preserve"> when investment decisions are taken.</w:t>
      </w:r>
    </w:p>
    <w:p w14:paraId="339F31D6" w14:textId="77777777" w:rsidR="007D4475" w:rsidRPr="009B6C52" w:rsidRDefault="00C713E2" w:rsidP="00B03D05">
      <w:pPr>
        <w:pStyle w:val="ListParagraph"/>
        <w:numPr>
          <w:ilvl w:val="0"/>
          <w:numId w:val="4"/>
        </w:numPr>
        <w:autoSpaceDE w:val="0"/>
        <w:autoSpaceDN w:val="0"/>
        <w:adjustRightInd w:val="0"/>
        <w:ind w:left="1134"/>
        <w:rPr>
          <w:rFonts w:ascii="ArialMT" w:hAnsi="ArialMT" w:cs="ArialMT"/>
          <w:color w:val="000000"/>
          <w:szCs w:val="22"/>
        </w:rPr>
      </w:pPr>
      <w:r w:rsidRPr="009B6C52">
        <w:rPr>
          <w:rFonts w:ascii="ArialMT" w:hAnsi="ArialMT" w:cs="ArialMT"/>
          <w:color w:val="000000"/>
          <w:szCs w:val="22"/>
        </w:rPr>
        <w:t>The PCC will maintain general reserves at a level between 3% and 5% of the net revenue budget to cover any major unforeseen expenditure (in line with the published re</w:t>
      </w:r>
      <w:r w:rsidR="007D4475" w:rsidRPr="009B6C52">
        <w:rPr>
          <w:rFonts w:ascii="ArialMT" w:hAnsi="ArialMT" w:cs="ArialMT"/>
          <w:color w:val="000000"/>
          <w:szCs w:val="22"/>
        </w:rPr>
        <w:t>serves strategy)</w:t>
      </w:r>
      <w:r w:rsidRPr="009B6C52">
        <w:rPr>
          <w:rFonts w:ascii="ArialMT" w:hAnsi="ArialMT" w:cs="ArialMT"/>
          <w:color w:val="000000"/>
          <w:szCs w:val="22"/>
        </w:rPr>
        <w:t>.</w:t>
      </w:r>
    </w:p>
    <w:p w14:paraId="7C8F83A7" w14:textId="136121E7" w:rsidR="00C713E2" w:rsidRPr="009B6C52" w:rsidRDefault="00C713E2" w:rsidP="00B03D05">
      <w:pPr>
        <w:pStyle w:val="ListParagraph"/>
        <w:numPr>
          <w:ilvl w:val="0"/>
          <w:numId w:val="4"/>
        </w:numPr>
        <w:autoSpaceDE w:val="0"/>
        <w:autoSpaceDN w:val="0"/>
        <w:adjustRightInd w:val="0"/>
        <w:ind w:left="1134"/>
        <w:rPr>
          <w:rFonts w:ascii="ArialMT" w:hAnsi="ArialMT" w:cs="ArialMT"/>
          <w:color w:val="000000"/>
          <w:szCs w:val="22"/>
        </w:rPr>
      </w:pPr>
      <w:r w:rsidRPr="009B6C52">
        <w:rPr>
          <w:rFonts w:ascii="ArialMT" w:hAnsi="ArialMT" w:cs="ArialMT"/>
          <w:color w:val="000000"/>
          <w:szCs w:val="22"/>
        </w:rPr>
        <w:t xml:space="preserve">The </w:t>
      </w:r>
      <w:r w:rsidR="007D4475" w:rsidRPr="009B6C52">
        <w:rPr>
          <w:rFonts w:ascii="ArialMT" w:hAnsi="ArialMT" w:cs="ArialMT"/>
          <w:color w:val="000000"/>
          <w:szCs w:val="22"/>
        </w:rPr>
        <w:t>PCC</w:t>
      </w:r>
      <w:r w:rsidRPr="009B6C52">
        <w:rPr>
          <w:rFonts w:ascii="ArialMT" w:hAnsi="ArialMT" w:cs="ArialMT"/>
          <w:color w:val="000000"/>
          <w:szCs w:val="22"/>
        </w:rPr>
        <w:t xml:space="preserve"> </w:t>
      </w:r>
      <w:r w:rsidR="007D4475" w:rsidRPr="009B6C52">
        <w:rPr>
          <w:rFonts w:ascii="ArialMT" w:hAnsi="ArialMT" w:cs="ArialMT"/>
          <w:color w:val="000000"/>
          <w:szCs w:val="22"/>
        </w:rPr>
        <w:t xml:space="preserve">and Chief Constable </w:t>
      </w:r>
      <w:r w:rsidRPr="009B6C52">
        <w:rPr>
          <w:rFonts w:ascii="ArialMT" w:hAnsi="ArialMT" w:cs="ArialMT"/>
          <w:color w:val="000000"/>
          <w:szCs w:val="22"/>
        </w:rPr>
        <w:t xml:space="preserve">will aim to balance </w:t>
      </w:r>
      <w:r w:rsidR="007D4475" w:rsidRPr="009B6C52">
        <w:rPr>
          <w:rFonts w:ascii="ArialMT" w:hAnsi="ArialMT" w:cs="ArialMT"/>
          <w:color w:val="000000"/>
          <w:szCs w:val="22"/>
        </w:rPr>
        <w:t>the</w:t>
      </w:r>
      <w:r w:rsidRPr="009B6C52">
        <w:rPr>
          <w:rFonts w:ascii="ArialMT" w:hAnsi="ArialMT" w:cs="ArialMT"/>
          <w:color w:val="000000"/>
          <w:szCs w:val="22"/>
        </w:rPr>
        <w:t xml:space="preserve"> revenue budget over the period of the MTFS without reliance on the use of the general reserve.</w:t>
      </w:r>
    </w:p>
    <w:p w14:paraId="4D84EE3E" w14:textId="544B0ACA" w:rsidR="00C713E2" w:rsidRPr="009B6C52" w:rsidRDefault="00C713E2" w:rsidP="00B03D05">
      <w:pPr>
        <w:pStyle w:val="ListParagraph"/>
        <w:numPr>
          <w:ilvl w:val="0"/>
          <w:numId w:val="4"/>
        </w:numPr>
        <w:autoSpaceDE w:val="0"/>
        <w:autoSpaceDN w:val="0"/>
        <w:adjustRightInd w:val="0"/>
        <w:ind w:left="1134"/>
        <w:rPr>
          <w:rFonts w:ascii="ArialMT" w:hAnsi="ArialMT" w:cs="ArialMT"/>
          <w:color w:val="000000"/>
          <w:szCs w:val="22"/>
        </w:rPr>
      </w:pPr>
      <w:r w:rsidRPr="009B6C52">
        <w:rPr>
          <w:rFonts w:ascii="ArialMT" w:hAnsi="ArialMT" w:cs="ArialMT"/>
          <w:color w:val="000000"/>
          <w:szCs w:val="22"/>
        </w:rPr>
        <w:t xml:space="preserve">The </w:t>
      </w:r>
      <w:r w:rsidR="007D4475" w:rsidRPr="009B6C52">
        <w:rPr>
          <w:rFonts w:ascii="ArialMT" w:hAnsi="ArialMT" w:cs="ArialMT"/>
          <w:color w:val="000000"/>
          <w:szCs w:val="22"/>
        </w:rPr>
        <w:t>PCC</w:t>
      </w:r>
      <w:r w:rsidRPr="009B6C52">
        <w:rPr>
          <w:rFonts w:ascii="ArialMT" w:hAnsi="ArialMT" w:cs="ArialMT"/>
          <w:color w:val="000000"/>
          <w:szCs w:val="22"/>
        </w:rPr>
        <w:t xml:space="preserve"> will maintain earmarked reserves for specific purposes which are consistent with achieving key priorities. The use and level of earmarked reserves will be reviewed at least annually.</w:t>
      </w:r>
    </w:p>
    <w:p w14:paraId="13D14087" w14:textId="2D9B27EC" w:rsidR="00C713E2" w:rsidRPr="009B6C52" w:rsidRDefault="00C713E2" w:rsidP="00B03D05">
      <w:pPr>
        <w:pStyle w:val="ListParagraph"/>
        <w:numPr>
          <w:ilvl w:val="0"/>
          <w:numId w:val="4"/>
        </w:numPr>
        <w:autoSpaceDE w:val="0"/>
        <w:autoSpaceDN w:val="0"/>
        <w:adjustRightInd w:val="0"/>
        <w:ind w:left="1134"/>
        <w:rPr>
          <w:rFonts w:ascii="ArialMT" w:hAnsi="ArialMT" w:cs="ArialMT"/>
          <w:color w:val="000000"/>
          <w:szCs w:val="22"/>
        </w:rPr>
      </w:pPr>
      <w:r w:rsidRPr="009B6C52">
        <w:rPr>
          <w:rFonts w:ascii="ArialMT" w:hAnsi="ArialMT" w:cs="ArialMT"/>
          <w:color w:val="000000"/>
          <w:szCs w:val="22"/>
        </w:rPr>
        <w:t>Overall spending should be contained within original estimates. If, following monthly revenue monitoring, service budgets are projected to exceed original estimates, plans should be prepared setting out the actions required to ensure spending at the end of the year does not exceed original estimates.</w:t>
      </w:r>
    </w:p>
    <w:p w14:paraId="7550B445" w14:textId="77777777" w:rsidR="00981286" w:rsidRPr="009B6C52" w:rsidRDefault="00C713E2" w:rsidP="00B03D05">
      <w:pPr>
        <w:pStyle w:val="ListParagraph"/>
        <w:numPr>
          <w:ilvl w:val="0"/>
          <w:numId w:val="4"/>
        </w:numPr>
        <w:autoSpaceDE w:val="0"/>
        <w:autoSpaceDN w:val="0"/>
        <w:adjustRightInd w:val="0"/>
        <w:ind w:left="1134"/>
        <w:rPr>
          <w:szCs w:val="22"/>
        </w:rPr>
      </w:pPr>
      <w:r w:rsidRPr="009B6C52">
        <w:rPr>
          <w:rFonts w:ascii="ArialMT" w:hAnsi="ArialMT" w:cs="ArialMT"/>
          <w:color w:val="000000"/>
          <w:szCs w:val="22"/>
        </w:rPr>
        <w:t xml:space="preserve">The </w:t>
      </w:r>
      <w:r w:rsidR="007D4475" w:rsidRPr="009B6C52">
        <w:rPr>
          <w:rFonts w:ascii="ArialMT" w:hAnsi="ArialMT" w:cs="ArialMT"/>
          <w:color w:val="000000"/>
          <w:szCs w:val="22"/>
        </w:rPr>
        <w:t>PCC</w:t>
      </w:r>
      <w:r w:rsidRPr="009B6C52">
        <w:rPr>
          <w:rFonts w:ascii="ArialMT" w:hAnsi="ArialMT" w:cs="ArialMT"/>
          <w:color w:val="000000"/>
          <w:szCs w:val="22"/>
        </w:rPr>
        <w:t xml:space="preserve"> recognises the impact of increases in council tax levels and will therefore balance the need for increases against the delivery of </w:t>
      </w:r>
      <w:r w:rsidR="007D4475" w:rsidRPr="009B6C52">
        <w:rPr>
          <w:rFonts w:ascii="ArialMT" w:hAnsi="ArialMT" w:cs="ArialMT"/>
          <w:color w:val="000000"/>
          <w:szCs w:val="22"/>
        </w:rPr>
        <w:t>the Police and Crime plan and</w:t>
      </w:r>
      <w:r w:rsidRPr="009B6C52">
        <w:rPr>
          <w:rFonts w:ascii="ArialMT" w:hAnsi="ArialMT" w:cs="ArialMT"/>
          <w:color w:val="000000"/>
          <w:szCs w:val="22"/>
        </w:rPr>
        <w:t xml:space="preserve"> demand </w:t>
      </w:r>
      <w:r w:rsidR="007D4475" w:rsidRPr="009B6C52">
        <w:rPr>
          <w:rFonts w:ascii="ArialMT" w:hAnsi="ArialMT" w:cs="ArialMT"/>
          <w:color w:val="000000"/>
          <w:szCs w:val="22"/>
        </w:rPr>
        <w:t>placed on policing</w:t>
      </w:r>
      <w:r w:rsidRPr="009B6C52">
        <w:rPr>
          <w:rFonts w:ascii="ArialMT" w:hAnsi="ArialMT" w:cs="ArialMT"/>
          <w:color w:val="000000"/>
          <w:szCs w:val="22"/>
        </w:rPr>
        <w:t xml:space="preserve"> services.</w:t>
      </w:r>
    </w:p>
    <w:p w14:paraId="22BC3531" w14:textId="77777777" w:rsidR="00981286" w:rsidRPr="009B6C52" w:rsidRDefault="00981286" w:rsidP="00981286">
      <w:pPr>
        <w:autoSpaceDE w:val="0"/>
        <w:autoSpaceDN w:val="0"/>
        <w:adjustRightInd w:val="0"/>
        <w:rPr>
          <w:sz w:val="22"/>
        </w:rPr>
      </w:pPr>
    </w:p>
    <w:p w14:paraId="4641FB21" w14:textId="29514E01" w:rsidR="004862DA" w:rsidRPr="009B6C52" w:rsidRDefault="004862DA" w:rsidP="00981286">
      <w:pPr>
        <w:autoSpaceDE w:val="0"/>
        <w:autoSpaceDN w:val="0"/>
        <w:adjustRightInd w:val="0"/>
        <w:rPr>
          <w:rFonts w:cs="Times New Roman"/>
          <w:sz w:val="22"/>
        </w:rPr>
      </w:pPr>
    </w:p>
    <w:p w14:paraId="3C278EB3" w14:textId="4BC7ACEE" w:rsidR="004862DA" w:rsidRPr="008366B4" w:rsidRDefault="004862DA" w:rsidP="00B03D05">
      <w:pPr>
        <w:pStyle w:val="ListParagraph"/>
        <w:numPr>
          <w:ilvl w:val="0"/>
          <w:numId w:val="3"/>
        </w:numPr>
        <w:spacing w:after="240"/>
        <w:ind w:left="357" w:hanging="357"/>
        <w:contextualSpacing w:val="0"/>
        <w:rPr>
          <w:b/>
          <w:bCs/>
          <w:szCs w:val="22"/>
        </w:rPr>
      </w:pPr>
      <w:r w:rsidRPr="008366B4">
        <w:rPr>
          <w:b/>
          <w:bCs/>
          <w:szCs w:val="22"/>
        </w:rPr>
        <w:t>Financial Context</w:t>
      </w:r>
    </w:p>
    <w:p w14:paraId="03B8A9ED" w14:textId="3942E71D" w:rsidR="007C614E" w:rsidRDefault="007C614E" w:rsidP="00B03D05">
      <w:pPr>
        <w:pStyle w:val="ListParagraph"/>
        <w:numPr>
          <w:ilvl w:val="1"/>
          <w:numId w:val="3"/>
        </w:numPr>
        <w:spacing w:after="120"/>
        <w:contextualSpacing w:val="0"/>
        <w:rPr>
          <w:szCs w:val="22"/>
        </w:rPr>
      </w:pPr>
      <w:r>
        <w:rPr>
          <w:szCs w:val="22"/>
        </w:rPr>
        <w:t>In 2026/27 specific grant funding has been provided by government linked to the delivery of an increased number of roles engaged in 'neighbourhood policing'. Failure to meet the target set for this by the government will adversely affect the funding position for Lancashire. This provides a constraint on the recruitment and retention of staff for the constabulary as measures are put in place to ensure the required increase in neighbourhood roles is delivered.</w:t>
      </w:r>
    </w:p>
    <w:p w14:paraId="5CA2D76A" w14:textId="5B9E281F" w:rsidR="00374A3A" w:rsidRPr="009B6C52" w:rsidRDefault="00374A3A" w:rsidP="00B03D05">
      <w:pPr>
        <w:pStyle w:val="ListParagraph"/>
        <w:numPr>
          <w:ilvl w:val="1"/>
          <w:numId w:val="3"/>
        </w:numPr>
        <w:spacing w:after="120"/>
        <w:ind w:left="788" w:hanging="431"/>
        <w:contextualSpacing w:val="0"/>
        <w:rPr>
          <w:szCs w:val="22"/>
        </w:rPr>
      </w:pPr>
      <w:r w:rsidRPr="009B6C52">
        <w:rPr>
          <w:szCs w:val="22"/>
        </w:rPr>
        <w:t xml:space="preserve">Like all sectors policing has faced significant pressure on costs over </w:t>
      </w:r>
      <w:r w:rsidR="00646547">
        <w:rPr>
          <w:szCs w:val="22"/>
        </w:rPr>
        <w:t>recent years</w:t>
      </w:r>
      <w:r w:rsidRPr="009B6C52">
        <w:rPr>
          <w:szCs w:val="22"/>
        </w:rPr>
        <w:t xml:space="preserve"> with further inflationary pressures expected in the future. The ability to manage these costs is limited and as previously stated </w:t>
      </w:r>
      <w:proofErr w:type="gramStart"/>
      <w:r w:rsidRPr="009B6C52">
        <w:rPr>
          <w:szCs w:val="22"/>
        </w:rPr>
        <w:t>the majority of</w:t>
      </w:r>
      <w:proofErr w:type="gramEnd"/>
      <w:r w:rsidRPr="009B6C52">
        <w:rPr>
          <w:szCs w:val="22"/>
        </w:rPr>
        <w:t xml:space="preserve"> the budget is spent on staffing. This limits the ability to make savings on non-staff costs where significant cost increases are being </w:t>
      </w:r>
      <w:r w:rsidRPr="009B6C52">
        <w:rPr>
          <w:szCs w:val="22"/>
        </w:rPr>
        <w:lastRenderedPageBreak/>
        <w:t>experienced, this compounds the financial pressure on the organisation requiring significant review and planning for the identification of savings.</w:t>
      </w:r>
    </w:p>
    <w:p w14:paraId="3B165CEE" w14:textId="406EDFB1" w:rsidR="00374A3A" w:rsidRPr="009B6C52" w:rsidRDefault="00374A3A" w:rsidP="00B03D05">
      <w:pPr>
        <w:pStyle w:val="ListParagraph"/>
        <w:numPr>
          <w:ilvl w:val="1"/>
          <w:numId w:val="3"/>
        </w:numPr>
        <w:spacing w:after="120"/>
        <w:ind w:left="788" w:hanging="431"/>
        <w:contextualSpacing w:val="0"/>
        <w:rPr>
          <w:szCs w:val="22"/>
        </w:rPr>
      </w:pPr>
      <w:r w:rsidRPr="009B6C52">
        <w:rPr>
          <w:szCs w:val="22"/>
        </w:rPr>
        <w:t>In recent years there has been a</w:t>
      </w:r>
      <w:r w:rsidR="006B680E">
        <w:rPr>
          <w:szCs w:val="22"/>
        </w:rPr>
        <w:t>n</w:t>
      </w:r>
      <w:r w:rsidRPr="009B6C52">
        <w:rPr>
          <w:szCs w:val="22"/>
        </w:rPr>
        <w:t xml:space="preserve"> increase in the level of council tax charged </w:t>
      </w:r>
      <w:r w:rsidR="00D8200F">
        <w:rPr>
          <w:szCs w:val="22"/>
        </w:rPr>
        <w:t>in line with</w:t>
      </w:r>
      <w:r w:rsidRPr="009B6C52">
        <w:rPr>
          <w:szCs w:val="22"/>
        </w:rPr>
        <w:t xml:space="preserve"> government funding expectations. Increases over a prolonged period places pressure on local </w:t>
      </w:r>
      <w:r w:rsidR="007421BC" w:rsidRPr="009B6C52">
        <w:rPr>
          <w:szCs w:val="22"/>
        </w:rPr>
        <w:t>taxpayers</w:t>
      </w:r>
      <w:r w:rsidRPr="009B6C52">
        <w:rPr>
          <w:szCs w:val="22"/>
        </w:rPr>
        <w:t xml:space="preserve"> and consideration of the impact of these increases is a significant </w:t>
      </w:r>
      <w:r w:rsidR="006B680E">
        <w:rPr>
          <w:szCs w:val="22"/>
        </w:rPr>
        <w:t>issue for</w:t>
      </w:r>
      <w:r w:rsidRPr="009B6C52">
        <w:rPr>
          <w:szCs w:val="22"/>
        </w:rPr>
        <w:t xml:space="preserve"> financial planning.</w:t>
      </w:r>
    </w:p>
    <w:p w14:paraId="39A69932" w14:textId="56C7CB34" w:rsidR="00374A3A" w:rsidRPr="009B6C52" w:rsidRDefault="00374A3A" w:rsidP="00B03D05">
      <w:pPr>
        <w:pStyle w:val="ListParagraph"/>
        <w:numPr>
          <w:ilvl w:val="1"/>
          <w:numId w:val="3"/>
        </w:numPr>
        <w:spacing w:after="120"/>
        <w:ind w:left="788" w:hanging="431"/>
        <w:contextualSpacing w:val="0"/>
        <w:rPr>
          <w:szCs w:val="22"/>
        </w:rPr>
      </w:pPr>
      <w:r w:rsidRPr="009B6C52">
        <w:rPr>
          <w:szCs w:val="22"/>
        </w:rPr>
        <w:t xml:space="preserve">Pressure on funding for other public sector services is felt by policing as the ability to deliver some services has resulted in an increase in work for police officers. </w:t>
      </w:r>
      <w:proofErr w:type="gramStart"/>
      <w:r w:rsidRPr="009B6C52">
        <w:rPr>
          <w:szCs w:val="22"/>
        </w:rPr>
        <w:t>In particular the</w:t>
      </w:r>
      <w:proofErr w:type="gramEnd"/>
      <w:r w:rsidRPr="009B6C52">
        <w:rPr>
          <w:szCs w:val="22"/>
        </w:rPr>
        <w:t xml:space="preserve"> pressure on mental health services has meant a significant demand on police time and therefore has a significant impact on budget planning.</w:t>
      </w:r>
    </w:p>
    <w:p w14:paraId="49CB78B6" w14:textId="1E475AF5" w:rsidR="00374A3A" w:rsidRPr="009B6C52" w:rsidRDefault="00374A3A" w:rsidP="00B03D05">
      <w:pPr>
        <w:pStyle w:val="ListParagraph"/>
        <w:numPr>
          <w:ilvl w:val="1"/>
          <w:numId w:val="3"/>
        </w:numPr>
        <w:spacing w:after="120"/>
        <w:ind w:left="788" w:hanging="431"/>
        <w:contextualSpacing w:val="0"/>
        <w:rPr>
          <w:szCs w:val="22"/>
        </w:rPr>
      </w:pPr>
      <w:r w:rsidRPr="009B6C52">
        <w:rPr>
          <w:szCs w:val="22"/>
        </w:rPr>
        <w:t xml:space="preserve">In recent years the government has identified </w:t>
      </w:r>
      <w:r w:rsidR="007C614E">
        <w:rPr>
          <w:szCs w:val="22"/>
        </w:rPr>
        <w:t>several</w:t>
      </w:r>
      <w:r w:rsidRPr="009B6C52">
        <w:rPr>
          <w:szCs w:val="22"/>
        </w:rPr>
        <w:t xml:space="preserve"> policy areas for </w:t>
      </w:r>
      <w:r w:rsidR="007421BC" w:rsidRPr="009B6C52">
        <w:rPr>
          <w:szCs w:val="22"/>
        </w:rPr>
        <w:t xml:space="preserve">policing and attached additional funding to them. This trend has delivered </w:t>
      </w:r>
      <w:proofErr w:type="gramStart"/>
      <w:r w:rsidR="007421BC" w:rsidRPr="009B6C52">
        <w:rPr>
          <w:szCs w:val="22"/>
        </w:rPr>
        <w:t>a number of</w:t>
      </w:r>
      <w:proofErr w:type="gramEnd"/>
      <w:r w:rsidR="007421BC" w:rsidRPr="009B6C52">
        <w:rPr>
          <w:szCs w:val="22"/>
        </w:rPr>
        <w:t xml:space="preserve"> specific grant funding streams for policing to invest but with this structure has come a significant increase in administrative burden and reporting requirements. Such funding is often announced at short notice which is not ideal for </w:t>
      </w:r>
      <w:r w:rsidR="006B680E">
        <w:rPr>
          <w:szCs w:val="22"/>
        </w:rPr>
        <w:t>effective</w:t>
      </w:r>
      <w:r w:rsidR="007421BC" w:rsidRPr="009B6C52">
        <w:rPr>
          <w:szCs w:val="22"/>
        </w:rPr>
        <w:t xml:space="preserve"> financial planning.</w:t>
      </w:r>
    </w:p>
    <w:p w14:paraId="3B5817E0" w14:textId="336AFF5A" w:rsidR="004862DA" w:rsidRPr="009B6C52" w:rsidRDefault="004862DA">
      <w:pPr>
        <w:rPr>
          <w:rFonts w:cs="Times New Roman"/>
          <w:sz w:val="22"/>
        </w:rPr>
      </w:pPr>
    </w:p>
    <w:p w14:paraId="2AD2DE69" w14:textId="77777777" w:rsidR="007421BC" w:rsidRPr="009B6C52" w:rsidRDefault="007421BC">
      <w:pPr>
        <w:rPr>
          <w:rFonts w:cs="Times New Roman"/>
          <w:sz w:val="22"/>
        </w:rPr>
      </w:pPr>
    </w:p>
    <w:p w14:paraId="27C0065F" w14:textId="76AB3D41" w:rsidR="004862DA" w:rsidRPr="008366B4" w:rsidRDefault="004862DA" w:rsidP="00B03D05">
      <w:pPr>
        <w:pStyle w:val="ListParagraph"/>
        <w:numPr>
          <w:ilvl w:val="0"/>
          <w:numId w:val="3"/>
        </w:numPr>
        <w:spacing w:after="240"/>
        <w:ind w:left="357" w:hanging="357"/>
        <w:contextualSpacing w:val="0"/>
        <w:rPr>
          <w:b/>
          <w:bCs/>
          <w:szCs w:val="22"/>
        </w:rPr>
      </w:pPr>
      <w:r w:rsidRPr="008366B4">
        <w:rPr>
          <w:b/>
          <w:bCs/>
          <w:szCs w:val="22"/>
        </w:rPr>
        <w:t>Operational Policing</w:t>
      </w:r>
    </w:p>
    <w:p w14:paraId="08C156ED" w14:textId="71BEE3DA" w:rsidR="007421BC" w:rsidRPr="009B6C52" w:rsidRDefault="007421BC" w:rsidP="00B03D05">
      <w:pPr>
        <w:pStyle w:val="ListParagraph"/>
        <w:numPr>
          <w:ilvl w:val="1"/>
          <w:numId w:val="3"/>
        </w:numPr>
        <w:spacing w:after="120"/>
        <w:ind w:left="788" w:hanging="431"/>
        <w:contextualSpacing w:val="0"/>
        <w:rPr>
          <w:szCs w:val="22"/>
        </w:rPr>
      </w:pPr>
      <w:r w:rsidRPr="009B6C52">
        <w:rPr>
          <w:szCs w:val="22"/>
        </w:rPr>
        <w:t xml:space="preserve">Lancashire Constabulary has an excellent track record in efficiency. The Constabulary has effectively managed different challenges year on year, providing efficient and effective services to its communities, which are both sustainable and focused on future demands. The </w:t>
      </w:r>
      <w:r w:rsidR="00646547">
        <w:rPr>
          <w:szCs w:val="22"/>
        </w:rPr>
        <w:t>latest</w:t>
      </w:r>
      <w:r w:rsidRPr="009B6C52">
        <w:rPr>
          <w:szCs w:val="22"/>
        </w:rPr>
        <w:t xml:space="preserve"> PEEL assessment determined that Lancashire Constabulary is good at operating efficiently.</w:t>
      </w:r>
    </w:p>
    <w:p w14:paraId="7C308096" w14:textId="77777777" w:rsidR="007421BC" w:rsidRPr="009B6C52" w:rsidRDefault="007421BC" w:rsidP="00B03D05">
      <w:pPr>
        <w:pStyle w:val="ListParagraph"/>
        <w:numPr>
          <w:ilvl w:val="1"/>
          <w:numId w:val="3"/>
        </w:numPr>
        <w:spacing w:after="120"/>
        <w:ind w:left="788" w:hanging="431"/>
        <w:contextualSpacing w:val="0"/>
        <w:rPr>
          <w:szCs w:val="22"/>
        </w:rPr>
      </w:pPr>
      <w:r w:rsidRPr="009B6C52">
        <w:rPr>
          <w:szCs w:val="22"/>
        </w:rPr>
        <w:t>Annual Force Management Statements (FMS), and the finance sections link the challenges of balancing risk-based investment against the medium-term finance strategy with a continuing focus on efficiency and effectiveness.</w:t>
      </w:r>
    </w:p>
    <w:p w14:paraId="6BC1E710" w14:textId="77777777" w:rsidR="007421BC" w:rsidRPr="009B6C52" w:rsidRDefault="007421BC" w:rsidP="00B03D05">
      <w:pPr>
        <w:pStyle w:val="ListParagraph"/>
        <w:numPr>
          <w:ilvl w:val="1"/>
          <w:numId w:val="3"/>
        </w:numPr>
        <w:spacing w:after="120"/>
        <w:ind w:left="788" w:hanging="431"/>
        <w:contextualSpacing w:val="0"/>
        <w:rPr>
          <w:szCs w:val="22"/>
        </w:rPr>
      </w:pPr>
      <w:r w:rsidRPr="009B6C52">
        <w:rPr>
          <w:szCs w:val="22"/>
        </w:rPr>
        <w:t>This continued process is illustrated through the FMS which provides an annual snapshot of efficiency, savings and investments where needed to mitigate risk if that risk cannot be accepted (including escalation to the PCC). Each FMS references the annual process where savings and investment opportunities are considered in line with force priorities.</w:t>
      </w:r>
    </w:p>
    <w:p w14:paraId="08CA324C" w14:textId="77777777" w:rsidR="007421BC" w:rsidRPr="009B6C52" w:rsidRDefault="007421BC" w:rsidP="00B03D05">
      <w:pPr>
        <w:pStyle w:val="ListParagraph"/>
        <w:numPr>
          <w:ilvl w:val="1"/>
          <w:numId w:val="3"/>
        </w:numPr>
        <w:spacing w:after="120"/>
        <w:ind w:left="788" w:hanging="431"/>
        <w:contextualSpacing w:val="0"/>
        <w:rPr>
          <w:szCs w:val="22"/>
        </w:rPr>
      </w:pPr>
      <w:r w:rsidRPr="009B6C52">
        <w:rPr>
          <w:szCs w:val="22"/>
        </w:rPr>
        <w:t>In addition, a comprehensive VFM analysis tool utilised to best identify areas to deliver efficiencies on a rolling basis.</w:t>
      </w:r>
    </w:p>
    <w:p w14:paraId="4FF84D39" w14:textId="56D82DBB" w:rsidR="007421BC" w:rsidRDefault="007421BC" w:rsidP="00B03D05">
      <w:pPr>
        <w:pStyle w:val="ListParagraph"/>
        <w:numPr>
          <w:ilvl w:val="1"/>
          <w:numId w:val="3"/>
        </w:numPr>
        <w:spacing w:after="120"/>
        <w:ind w:left="788" w:hanging="431"/>
        <w:contextualSpacing w:val="0"/>
        <w:rPr>
          <w:szCs w:val="22"/>
        </w:rPr>
      </w:pPr>
      <w:r w:rsidRPr="009B6C52">
        <w:rPr>
          <w:szCs w:val="22"/>
        </w:rPr>
        <w:t>The FMS and budget setting are closely linked to the business planning cycle, the annual process whereby departments and the force collectively consider efficiency and savings opportunities alongside any risk-based investments which are necessary.</w:t>
      </w:r>
    </w:p>
    <w:p w14:paraId="3E5F3C5F" w14:textId="6A79596B" w:rsidR="002B3D2F" w:rsidRPr="009B6C52" w:rsidRDefault="002B3D2F" w:rsidP="00B03D05">
      <w:pPr>
        <w:pStyle w:val="ListParagraph"/>
        <w:numPr>
          <w:ilvl w:val="1"/>
          <w:numId w:val="3"/>
        </w:numPr>
        <w:spacing w:after="120"/>
        <w:ind w:left="788" w:hanging="431"/>
        <w:contextualSpacing w:val="0"/>
        <w:rPr>
          <w:szCs w:val="22"/>
        </w:rPr>
      </w:pPr>
      <w:r>
        <w:rPr>
          <w:szCs w:val="22"/>
        </w:rPr>
        <w:t xml:space="preserve">As part of this process the Constabulary produce an annual report detailing the efficiency and savings plan that is in place to deliver the </w:t>
      </w:r>
      <w:proofErr w:type="gramStart"/>
      <w:r>
        <w:rPr>
          <w:szCs w:val="22"/>
        </w:rPr>
        <w:t>budget</w:t>
      </w:r>
      <w:proofErr w:type="gramEnd"/>
      <w:r>
        <w:rPr>
          <w:szCs w:val="22"/>
        </w:rPr>
        <w:t xml:space="preserve"> and this is reported to the PCC as part of the budget assurance framework.</w:t>
      </w:r>
    </w:p>
    <w:p w14:paraId="03B765B8" w14:textId="77777777" w:rsidR="007421BC" w:rsidRPr="009B6C52" w:rsidRDefault="007421BC" w:rsidP="00B03D05">
      <w:pPr>
        <w:pStyle w:val="ListParagraph"/>
        <w:numPr>
          <w:ilvl w:val="1"/>
          <w:numId w:val="3"/>
        </w:numPr>
        <w:spacing w:after="120"/>
        <w:ind w:left="788" w:hanging="431"/>
        <w:contextualSpacing w:val="0"/>
        <w:rPr>
          <w:szCs w:val="22"/>
        </w:rPr>
      </w:pPr>
      <w:r w:rsidRPr="009B6C52">
        <w:rPr>
          <w:szCs w:val="22"/>
        </w:rPr>
        <w:t xml:space="preserve">The Medium-Term Financial Strategy (MTFS) sets out the financial position for the force in the next three years. Delivering this requires the management of a complex set of resources, demands and priorities, which takes account of demand profiling and results in an overarching plan. It is continually reviewed throughout the year in conjunction with the Office of the Police and Crime Commissioner </w:t>
      </w:r>
      <w:proofErr w:type="gramStart"/>
      <w:r w:rsidRPr="009B6C52">
        <w:rPr>
          <w:szCs w:val="22"/>
        </w:rPr>
        <w:t>in order to</w:t>
      </w:r>
      <w:proofErr w:type="gramEnd"/>
      <w:r w:rsidRPr="009B6C52">
        <w:rPr>
          <w:szCs w:val="22"/>
        </w:rPr>
        <w:t xml:space="preserve"> amend the plan within available financial resources and taking account of external pressures and changes. Integral to the MTFS are budget savings.</w:t>
      </w:r>
    </w:p>
    <w:p w14:paraId="2DC5E770" w14:textId="30B019A7" w:rsidR="007421BC" w:rsidRPr="009B6C52" w:rsidRDefault="007421BC" w:rsidP="00B03D05">
      <w:pPr>
        <w:pStyle w:val="ListParagraph"/>
        <w:numPr>
          <w:ilvl w:val="1"/>
          <w:numId w:val="3"/>
        </w:numPr>
        <w:spacing w:after="120"/>
        <w:ind w:left="788" w:hanging="431"/>
        <w:contextualSpacing w:val="0"/>
        <w:rPr>
          <w:szCs w:val="22"/>
        </w:rPr>
      </w:pPr>
      <w:r w:rsidRPr="009B6C52">
        <w:rPr>
          <w:szCs w:val="22"/>
        </w:rPr>
        <w:t xml:space="preserve">The FMS also describes known or predicted capacity and demand pressures which are then discussed by the Chief Officer </w:t>
      </w:r>
      <w:r w:rsidR="008366B4">
        <w:rPr>
          <w:szCs w:val="22"/>
        </w:rPr>
        <w:t>Team</w:t>
      </w:r>
      <w:r w:rsidRPr="009B6C52">
        <w:rPr>
          <w:szCs w:val="22"/>
        </w:rPr>
        <w:t>. They then devise plans to mitigate and meet requirements within the constraints of the MTFS.</w:t>
      </w:r>
    </w:p>
    <w:p w14:paraId="3BB99570" w14:textId="7400C80F" w:rsidR="007421BC" w:rsidRPr="009B6C52" w:rsidRDefault="007421BC" w:rsidP="00B03D05">
      <w:pPr>
        <w:pStyle w:val="ListParagraph"/>
        <w:numPr>
          <w:ilvl w:val="1"/>
          <w:numId w:val="3"/>
        </w:numPr>
        <w:spacing w:after="120"/>
        <w:ind w:left="788" w:hanging="431"/>
        <w:contextualSpacing w:val="0"/>
        <w:rPr>
          <w:szCs w:val="22"/>
        </w:rPr>
      </w:pPr>
      <w:r w:rsidRPr="009B6C52">
        <w:rPr>
          <w:szCs w:val="22"/>
        </w:rPr>
        <w:t xml:space="preserve">The Constabulary's Plan on a Page (shown overleaf) is a document designed to underpin all Constabulary activity and to offer clarity of purpose to the workforce. It was </w:t>
      </w:r>
      <w:r w:rsidRPr="009B6C52">
        <w:rPr>
          <w:szCs w:val="22"/>
        </w:rPr>
        <w:lastRenderedPageBreak/>
        <w:t>devised by considering the areas requiring the greatest focus or of the highest risk. This is not only for the benefit of frontline staff, but for the whole organisation. It incorporates a Resources section which enables the force to continuously improve, optimising the use of resources to deliver objectives and mitigate risk.</w:t>
      </w:r>
    </w:p>
    <w:p w14:paraId="2D40232C" w14:textId="77777777" w:rsidR="007421BC" w:rsidRDefault="007421BC" w:rsidP="007421BC">
      <w:pPr>
        <w:spacing w:after="240"/>
        <w:sectPr w:rsidR="007421BC" w:rsidSect="007421BC">
          <w:footerReference w:type="first" r:id="rId13"/>
          <w:pgSz w:w="11909" w:h="16838" w:code="9"/>
          <w:pgMar w:top="851" w:right="1224" w:bottom="142" w:left="1224" w:header="360" w:footer="706" w:gutter="0"/>
          <w:cols w:space="720"/>
          <w:formProt w:val="0"/>
          <w:titlePg/>
          <w:docGrid w:linePitch="326"/>
        </w:sectPr>
      </w:pPr>
    </w:p>
    <w:p w14:paraId="2259E206" w14:textId="5C0770DF" w:rsidR="007421BC" w:rsidRDefault="00820989" w:rsidP="007421BC">
      <w:pPr>
        <w:spacing w:after="240"/>
        <w:ind w:left="426"/>
      </w:pPr>
      <w:r w:rsidRPr="00820989">
        <w:rPr>
          <w:noProof/>
        </w:rPr>
        <w:lastRenderedPageBreak/>
        <w:drawing>
          <wp:inline distT="0" distB="0" distL="0" distR="0" wp14:anchorId="24821094" wp14:editId="17187F71">
            <wp:extent cx="9690635" cy="5645426"/>
            <wp:effectExtent l="0" t="0" r="6350" b="0"/>
            <wp:docPr id="12202924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92438" name="Picture 1" descr="A screenshot of a computer&#10;&#10;AI-generated content may be incorrect."/>
                    <pic:cNvPicPr/>
                  </pic:nvPicPr>
                  <pic:blipFill rotWithShape="1">
                    <a:blip r:embed="rId14"/>
                    <a:srcRect l="34536" t="18826" r="7539" b="21184"/>
                    <a:stretch>
                      <a:fillRect/>
                    </a:stretch>
                  </pic:blipFill>
                  <pic:spPr bwMode="auto">
                    <a:xfrm>
                      <a:off x="0" y="0"/>
                      <a:ext cx="9766095" cy="5689386"/>
                    </a:xfrm>
                    <a:prstGeom prst="rect">
                      <a:avLst/>
                    </a:prstGeom>
                    <a:ln>
                      <a:noFill/>
                    </a:ln>
                    <a:extLst>
                      <a:ext uri="{53640926-AAD7-44D8-BBD7-CCE9431645EC}">
                        <a14:shadowObscured xmlns:a14="http://schemas.microsoft.com/office/drawing/2010/main"/>
                      </a:ext>
                    </a:extLst>
                  </pic:spPr>
                </pic:pic>
              </a:graphicData>
            </a:graphic>
          </wp:inline>
        </w:drawing>
      </w:r>
    </w:p>
    <w:p w14:paraId="1D424FD4" w14:textId="77777777" w:rsidR="007421BC" w:rsidRDefault="007421BC" w:rsidP="00B03D05">
      <w:pPr>
        <w:pStyle w:val="ListParagraph"/>
        <w:numPr>
          <w:ilvl w:val="0"/>
          <w:numId w:val="3"/>
        </w:numPr>
        <w:spacing w:after="240"/>
        <w:ind w:left="357" w:hanging="357"/>
        <w:contextualSpacing w:val="0"/>
        <w:sectPr w:rsidR="007421BC" w:rsidSect="007421BC">
          <w:pgSz w:w="16838" w:h="11909" w:orient="landscape" w:code="9"/>
          <w:pgMar w:top="1224" w:right="851" w:bottom="1224" w:left="142" w:header="360" w:footer="706" w:gutter="0"/>
          <w:cols w:space="720"/>
          <w:formProt w:val="0"/>
          <w:titlePg/>
          <w:docGrid w:linePitch="326"/>
        </w:sectPr>
      </w:pPr>
    </w:p>
    <w:p w14:paraId="22AC4687" w14:textId="1A48FCE9" w:rsidR="004862DA" w:rsidRPr="008366B4" w:rsidRDefault="004862DA" w:rsidP="00B03D05">
      <w:pPr>
        <w:pStyle w:val="ListParagraph"/>
        <w:numPr>
          <w:ilvl w:val="0"/>
          <w:numId w:val="3"/>
        </w:numPr>
        <w:spacing w:after="240"/>
        <w:ind w:left="357" w:hanging="357"/>
        <w:contextualSpacing w:val="0"/>
        <w:rPr>
          <w:b/>
          <w:bCs/>
          <w:szCs w:val="22"/>
        </w:rPr>
      </w:pPr>
      <w:r w:rsidRPr="008366B4">
        <w:rPr>
          <w:b/>
          <w:bCs/>
          <w:szCs w:val="22"/>
        </w:rPr>
        <w:lastRenderedPageBreak/>
        <w:t>Current financial position and out</w:t>
      </w:r>
      <w:r w:rsidR="009A06A2" w:rsidRPr="008366B4">
        <w:rPr>
          <w:b/>
          <w:bCs/>
          <w:szCs w:val="22"/>
        </w:rPr>
        <w:t>look</w:t>
      </w:r>
    </w:p>
    <w:p w14:paraId="1E946283" w14:textId="5C6C4E42" w:rsidR="00E00C79" w:rsidRPr="00E00C79" w:rsidRDefault="00E00C79" w:rsidP="00B03D05">
      <w:pPr>
        <w:pStyle w:val="ListParagraph"/>
        <w:numPr>
          <w:ilvl w:val="1"/>
          <w:numId w:val="3"/>
        </w:numPr>
        <w:spacing w:after="120"/>
        <w:ind w:left="788" w:hanging="431"/>
        <w:contextualSpacing w:val="0"/>
        <w:rPr>
          <w:szCs w:val="22"/>
        </w:rPr>
      </w:pPr>
      <w:r w:rsidRPr="00E00C79">
        <w:rPr>
          <w:szCs w:val="22"/>
        </w:rPr>
        <w:t>In line with best practice, assumptions regarding future funding and costs are reviewed on a regular basis to inform the budget setting process.  This report sets out the latest view of the financial outlook and incorporates information available on the following:</w:t>
      </w:r>
    </w:p>
    <w:p w14:paraId="6F0233F3" w14:textId="77777777" w:rsidR="00E00C79" w:rsidRPr="00E00C79" w:rsidRDefault="00E00C79" w:rsidP="00B03D05">
      <w:pPr>
        <w:numPr>
          <w:ilvl w:val="0"/>
          <w:numId w:val="6"/>
        </w:numPr>
        <w:ind w:left="1134"/>
        <w:rPr>
          <w:sz w:val="22"/>
        </w:rPr>
      </w:pPr>
      <w:r w:rsidRPr="00E00C79">
        <w:rPr>
          <w:sz w:val="22"/>
        </w:rPr>
        <w:t>potential changes to the level of resources available to the PCC in future years</w:t>
      </w:r>
    </w:p>
    <w:p w14:paraId="428FE0D9" w14:textId="77777777" w:rsidR="00E00C79" w:rsidRPr="00E00C79" w:rsidRDefault="00E00C79" w:rsidP="00B03D05">
      <w:pPr>
        <w:numPr>
          <w:ilvl w:val="0"/>
          <w:numId w:val="6"/>
        </w:numPr>
        <w:ind w:left="1134"/>
        <w:rPr>
          <w:sz w:val="22"/>
        </w:rPr>
      </w:pPr>
      <w:r w:rsidRPr="00E00C79">
        <w:rPr>
          <w:sz w:val="22"/>
        </w:rPr>
        <w:t>changes to the forecast level of expenditure, and</w:t>
      </w:r>
    </w:p>
    <w:p w14:paraId="24B1AA25" w14:textId="77777777" w:rsidR="00E00C79" w:rsidRPr="00E00C79" w:rsidRDefault="00E00C79" w:rsidP="00B03D05">
      <w:pPr>
        <w:numPr>
          <w:ilvl w:val="0"/>
          <w:numId w:val="6"/>
        </w:numPr>
        <w:ind w:left="1134"/>
        <w:rPr>
          <w:sz w:val="22"/>
        </w:rPr>
      </w:pPr>
      <w:r w:rsidRPr="00E00C79">
        <w:rPr>
          <w:sz w:val="22"/>
        </w:rPr>
        <w:t>changes to the cost of running the business.</w:t>
      </w:r>
    </w:p>
    <w:p w14:paraId="4ED90197" w14:textId="77777777" w:rsidR="00E00C79" w:rsidRPr="00E00C79" w:rsidRDefault="00E00C79" w:rsidP="00E00C79">
      <w:pPr>
        <w:rPr>
          <w:sz w:val="22"/>
        </w:rPr>
      </w:pPr>
    </w:p>
    <w:p w14:paraId="761EE7E0" w14:textId="77777777" w:rsidR="00E00C79" w:rsidRPr="00E00C79" w:rsidRDefault="00E00C79" w:rsidP="00E00C79">
      <w:pPr>
        <w:rPr>
          <w:sz w:val="22"/>
        </w:rPr>
      </w:pPr>
    </w:p>
    <w:p w14:paraId="1AB27D67" w14:textId="77777777" w:rsidR="00E00C79" w:rsidRPr="008366B4" w:rsidRDefault="00E00C79" w:rsidP="00B03D05">
      <w:pPr>
        <w:pStyle w:val="ListParagraph"/>
        <w:numPr>
          <w:ilvl w:val="1"/>
          <w:numId w:val="3"/>
        </w:numPr>
        <w:spacing w:after="120"/>
        <w:ind w:left="788" w:hanging="431"/>
        <w:contextualSpacing w:val="0"/>
        <w:rPr>
          <w:b/>
          <w:bCs/>
          <w:szCs w:val="22"/>
        </w:rPr>
      </w:pPr>
      <w:r w:rsidRPr="008366B4">
        <w:rPr>
          <w:b/>
          <w:bCs/>
          <w:szCs w:val="22"/>
        </w:rPr>
        <w:t>Funding</w:t>
      </w:r>
    </w:p>
    <w:p w14:paraId="4C81AA2A" w14:textId="77777777" w:rsidR="00E00C79" w:rsidRPr="00E00C79" w:rsidRDefault="00E00C79" w:rsidP="00B03D05">
      <w:pPr>
        <w:pStyle w:val="ListParagraph"/>
        <w:numPr>
          <w:ilvl w:val="2"/>
          <w:numId w:val="3"/>
        </w:numPr>
        <w:spacing w:after="120"/>
        <w:contextualSpacing w:val="0"/>
        <w:rPr>
          <w:szCs w:val="22"/>
        </w:rPr>
      </w:pPr>
      <w:r w:rsidRPr="00E00C79">
        <w:rPr>
          <w:szCs w:val="22"/>
        </w:rPr>
        <w:t>Government grants</w:t>
      </w:r>
    </w:p>
    <w:p w14:paraId="2569ED9E" w14:textId="77777777" w:rsidR="00E00C79" w:rsidRPr="00E00C79" w:rsidRDefault="00E00C79" w:rsidP="00B03D05">
      <w:pPr>
        <w:numPr>
          <w:ilvl w:val="0"/>
          <w:numId w:val="6"/>
        </w:numPr>
        <w:ind w:left="1134"/>
        <w:rPr>
          <w:sz w:val="22"/>
        </w:rPr>
      </w:pPr>
      <w:r w:rsidRPr="00E00C79">
        <w:rPr>
          <w:sz w:val="22"/>
        </w:rPr>
        <w:t>Police grant</w:t>
      </w:r>
    </w:p>
    <w:p w14:paraId="6BCD9080" w14:textId="77777777" w:rsidR="00E00C79" w:rsidRPr="00E00C79" w:rsidRDefault="00E00C79" w:rsidP="00440E40">
      <w:pPr>
        <w:ind w:left="1134"/>
        <w:rPr>
          <w:bCs/>
          <w:sz w:val="22"/>
        </w:rPr>
      </w:pPr>
      <w:r w:rsidRPr="00E00C79">
        <w:rPr>
          <w:bCs/>
          <w:sz w:val="22"/>
        </w:rPr>
        <w:t>Also referred to as 'Core grant' this is the funding provided to each PCC for the delivery of policing in their area and is not ringfenced.</w:t>
      </w:r>
    </w:p>
    <w:p w14:paraId="482D70FE" w14:textId="5134A7D4" w:rsidR="00E00C79" w:rsidRPr="00E00C79" w:rsidRDefault="00E00C79" w:rsidP="00440E40">
      <w:pPr>
        <w:spacing w:after="120"/>
        <w:ind w:left="1134"/>
        <w:rPr>
          <w:bCs/>
          <w:sz w:val="22"/>
        </w:rPr>
      </w:pPr>
      <w:r w:rsidRPr="00E00C79">
        <w:rPr>
          <w:bCs/>
          <w:sz w:val="22"/>
        </w:rPr>
        <w:t xml:space="preserve">The amount of core grant </w:t>
      </w:r>
      <w:r w:rsidR="00820989">
        <w:rPr>
          <w:bCs/>
          <w:sz w:val="22"/>
        </w:rPr>
        <w:t>w</w:t>
      </w:r>
      <w:r w:rsidRPr="00E00C79">
        <w:rPr>
          <w:bCs/>
          <w:sz w:val="22"/>
        </w:rPr>
        <w:t xml:space="preserve">as confirmed </w:t>
      </w:r>
      <w:r w:rsidR="00820989">
        <w:rPr>
          <w:bCs/>
          <w:sz w:val="22"/>
        </w:rPr>
        <w:t>for 202</w:t>
      </w:r>
      <w:r w:rsidR="007C614E">
        <w:rPr>
          <w:bCs/>
          <w:sz w:val="22"/>
        </w:rPr>
        <w:t>6/27</w:t>
      </w:r>
      <w:r w:rsidR="00820989">
        <w:rPr>
          <w:bCs/>
          <w:sz w:val="22"/>
        </w:rPr>
        <w:t xml:space="preserve"> in a one-year Settlement from government</w:t>
      </w:r>
      <w:r w:rsidRPr="00E00C79">
        <w:rPr>
          <w:bCs/>
          <w:sz w:val="22"/>
        </w:rPr>
        <w:t>.</w:t>
      </w:r>
    </w:p>
    <w:p w14:paraId="7D526A7E" w14:textId="77777777" w:rsidR="00820989" w:rsidRDefault="00820989" w:rsidP="00B03D05">
      <w:pPr>
        <w:numPr>
          <w:ilvl w:val="0"/>
          <w:numId w:val="6"/>
        </w:numPr>
        <w:ind w:left="1134"/>
        <w:rPr>
          <w:sz w:val="22"/>
        </w:rPr>
      </w:pPr>
      <w:r>
        <w:rPr>
          <w:sz w:val="22"/>
        </w:rPr>
        <w:t>Neighbourhood Policing Guarantee grant</w:t>
      </w:r>
    </w:p>
    <w:p w14:paraId="06942F04" w14:textId="7AD40268" w:rsidR="00820989" w:rsidRDefault="00820989" w:rsidP="00820989">
      <w:pPr>
        <w:spacing w:after="120"/>
        <w:ind w:left="1134"/>
        <w:rPr>
          <w:sz w:val="22"/>
        </w:rPr>
      </w:pPr>
      <w:r>
        <w:rPr>
          <w:sz w:val="22"/>
        </w:rPr>
        <w:t>A specific grant to support the provision of additional officers and staff into neighbourhood policing roles</w:t>
      </w:r>
    </w:p>
    <w:p w14:paraId="29C49DC5" w14:textId="5DCC6D91" w:rsidR="00E00C79" w:rsidRPr="00E00C79" w:rsidRDefault="00E00C79" w:rsidP="00B03D05">
      <w:pPr>
        <w:numPr>
          <w:ilvl w:val="0"/>
          <w:numId w:val="6"/>
        </w:numPr>
        <w:ind w:left="1134"/>
        <w:rPr>
          <w:sz w:val="22"/>
        </w:rPr>
      </w:pPr>
      <w:r w:rsidRPr="00E00C79">
        <w:rPr>
          <w:sz w:val="22"/>
        </w:rPr>
        <w:t>Victims Services grant</w:t>
      </w:r>
    </w:p>
    <w:p w14:paraId="76E54B8E" w14:textId="346DBF30" w:rsidR="00E00C79" w:rsidRPr="00E00C79" w:rsidRDefault="00E00C79" w:rsidP="00440E40">
      <w:pPr>
        <w:spacing w:after="120"/>
        <w:ind w:left="1134"/>
        <w:rPr>
          <w:bCs/>
          <w:sz w:val="22"/>
        </w:rPr>
      </w:pPr>
      <w:r w:rsidRPr="00E00C79">
        <w:rPr>
          <w:bCs/>
          <w:sz w:val="22"/>
        </w:rPr>
        <w:t xml:space="preserve">Ministry of Justice grant to support the provision of services to victims of </w:t>
      </w:r>
      <w:r w:rsidR="0029414B" w:rsidRPr="00E00C79">
        <w:rPr>
          <w:bCs/>
          <w:sz w:val="22"/>
        </w:rPr>
        <w:t>crime.</w:t>
      </w:r>
    </w:p>
    <w:p w14:paraId="5590813E" w14:textId="77777777" w:rsidR="00E00C79" w:rsidRPr="00E00C79" w:rsidRDefault="00E00C79" w:rsidP="00B03D05">
      <w:pPr>
        <w:numPr>
          <w:ilvl w:val="0"/>
          <w:numId w:val="6"/>
        </w:numPr>
        <w:ind w:left="1134"/>
        <w:rPr>
          <w:sz w:val="22"/>
        </w:rPr>
      </w:pPr>
      <w:r w:rsidRPr="00E00C79">
        <w:rPr>
          <w:sz w:val="22"/>
        </w:rPr>
        <w:t>Counter Terrorism grant</w:t>
      </w:r>
    </w:p>
    <w:p w14:paraId="23BB0EB4" w14:textId="09B9BC55" w:rsidR="00E00C79" w:rsidRDefault="00E00C79" w:rsidP="00440E40">
      <w:pPr>
        <w:spacing w:after="120"/>
        <w:ind w:left="1134"/>
        <w:rPr>
          <w:bCs/>
          <w:sz w:val="22"/>
        </w:rPr>
      </w:pPr>
      <w:r w:rsidRPr="00E00C79">
        <w:rPr>
          <w:bCs/>
          <w:sz w:val="22"/>
        </w:rPr>
        <w:t xml:space="preserve">Specific grant to support counter terror </w:t>
      </w:r>
      <w:r w:rsidR="0029414B" w:rsidRPr="00E00C79">
        <w:rPr>
          <w:bCs/>
          <w:sz w:val="22"/>
        </w:rPr>
        <w:t>activity.</w:t>
      </w:r>
    </w:p>
    <w:p w14:paraId="52C1EFD8" w14:textId="4BF653EB" w:rsidR="00CA2275" w:rsidRPr="00CA2275" w:rsidRDefault="00CA2275" w:rsidP="00CA2275">
      <w:pPr>
        <w:numPr>
          <w:ilvl w:val="0"/>
          <w:numId w:val="6"/>
        </w:numPr>
        <w:spacing w:after="240"/>
        <w:ind w:left="1134"/>
        <w:rPr>
          <w:sz w:val="22"/>
        </w:rPr>
      </w:pPr>
      <w:r w:rsidRPr="00CA2275">
        <w:rPr>
          <w:sz w:val="22"/>
        </w:rPr>
        <w:t>The MTFS assumes a</w:t>
      </w:r>
      <w:r>
        <w:rPr>
          <w:sz w:val="22"/>
        </w:rPr>
        <w:t xml:space="preserve"> 2%</w:t>
      </w:r>
      <w:r w:rsidRPr="00CA2275">
        <w:rPr>
          <w:sz w:val="22"/>
        </w:rPr>
        <w:t xml:space="preserve"> increase in Core grant in 2027/28 and 2028/29</w:t>
      </w:r>
      <w:r>
        <w:rPr>
          <w:sz w:val="22"/>
        </w:rPr>
        <w:t xml:space="preserve">. In respect of </w:t>
      </w:r>
      <w:r w:rsidRPr="00CA2275">
        <w:rPr>
          <w:sz w:val="22"/>
        </w:rPr>
        <w:t xml:space="preserve">specific </w:t>
      </w:r>
      <w:proofErr w:type="gramStart"/>
      <w:r w:rsidRPr="00CA2275">
        <w:rPr>
          <w:sz w:val="22"/>
        </w:rPr>
        <w:t>grants</w:t>
      </w:r>
      <w:proofErr w:type="gramEnd"/>
      <w:r w:rsidRPr="00CA2275">
        <w:rPr>
          <w:sz w:val="22"/>
        </w:rPr>
        <w:t xml:space="preserve"> </w:t>
      </w:r>
      <w:r>
        <w:rPr>
          <w:sz w:val="22"/>
        </w:rPr>
        <w:t>it is assumed these will remain</w:t>
      </w:r>
      <w:r w:rsidRPr="00CA2275">
        <w:rPr>
          <w:sz w:val="22"/>
        </w:rPr>
        <w:t xml:space="preserve"> at the same level as in 2026/27 in future years</w:t>
      </w:r>
    </w:p>
    <w:p w14:paraId="1066569F" w14:textId="77777777" w:rsidR="00E00C79" w:rsidRPr="00E00C79" w:rsidRDefault="00E00C79" w:rsidP="00B03D05">
      <w:pPr>
        <w:pStyle w:val="ListParagraph"/>
        <w:numPr>
          <w:ilvl w:val="2"/>
          <w:numId w:val="3"/>
        </w:numPr>
        <w:spacing w:after="120"/>
        <w:contextualSpacing w:val="0"/>
        <w:rPr>
          <w:szCs w:val="22"/>
        </w:rPr>
      </w:pPr>
      <w:r w:rsidRPr="00E00C79">
        <w:rPr>
          <w:szCs w:val="22"/>
        </w:rPr>
        <w:t>Council tax</w:t>
      </w:r>
    </w:p>
    <w:p w14:paraId="4115D7BF" w14:textId="77777777" w:rsidR="00E00C79" w:rsidRPr="00E00C79" w:rsidRDefault="00E00C79" w:rsidP="00B03D05">
      <w:pPr>
        <w:numPr>
          <w:ilvl w:val="0"/>
          <w:numId w:val="6"/>
        </w:numPr>
        <w:ind w:left="1134"/>
        <w:rPr>
          <w:sz w:val="22"/>
        </w:rPr>
      </w:pPr>
      <w:r w:rsidRPr="00E00C79">
        <w:rPr>
          <w:sz w:val="22"/>
        </w:rPr>
        <w:t>Precept</w:t>
      </w:r>
    </w:p>
    <w:p w14:paraId="7E0286E3" w14:textId="77777777" w:rsidR="00E00C79" w:rsidRPr="00E00C79" w:rsidRDefault="00E00C79" w:rsidP="00440E40">
      <w:pPr>
        <w:ind w:left="1134"/>
        <w:rPr>
          <w:bCs/>
          <w:sz w:val="22"/>
        </w:rPr>
      </w:pPr>
      <w:r w:rsidRPr="00E00C79">
        <w:rPr>
          <w:bCs/>
          <w:sz w:val="22"/>
        </w:rPr>
        <w:t>This is the council tax charge levied by the Police and Crime Commissioner for the delivery of policing services. This is expressed as the charge for a 'Band D property' which is the measure used to calculate the total amount of council tax income each Commissioner will raise.</w:t>
      </w:r>
    </w:p>
    <w:p w14:paraId="41FD9DC3" w14:textId="0E8B1EF9" w:rsidR="00E00C79" w:rsidRPr="00E00C79" w:rsidRDefault="00E00C79" w:rsidP="00440E40">
      <w:pPr>
        <w:ind w:left="1134"/>
        <w:rPr>
          <w:bCs/>
          <w:sz w:val="22"/>
        </w:rPr>
      </w:pPr>
      <w:r w:rsidRPr="00E00C79">
        <w:rPr>
          <w:bCs/>
          <w:sz w:val="22"/>
        </w:rPr>
        <w:t xml:space="preserve">The Spending Review announcement by the </w:t>
      </w:r>
      <w:r w:rsidR="002B3D2F">
        <w:rPr>
          <w:bCs/>
          <w:sz w:val="22"/>
        </w:rPr>
        <w:t xml:space="preserve">Minister for </w:t>
      </w:r>
      <w:r w:rsidRPr="00E00C79">
        <w:rPr>
          <w:bCs/>
          <w:sz w:val="22"/>
        </w:rPr>
        <w:t xml:space="preserve">Policing </w:t>
      </w:r>
      <w:r w:rsidR="00036F2A">
        <w:rPr>
          <w:bCs/>
          <w:sz w:val="22"/>
        </w:rPr>
        <w:t>for 2026</w:t>
      </w:r>
      <w:r w:rsidR="00CA2275">
        <w:rPr>
          <w:bCs/>
          <w:sz w:val="22"/>
        </w:rPr>
        <w:t>/27</w:t>
      </w:r>
      <w:r w:rsidR="00036F2A">
        <w:rPr>
          <w:bCs/>
          <w:sz w:val="22"/>
        </w:rPr>
        <w:t xml:space="preserve"> </w:t>
      </w:r>
      <w:r w:rsidRPr="00E00C79">
        <w:rPr>
          <w:bCs/>
          <w:sz w:val="22"/>
        </w:rPr>
        <w:t>stated the clear assumption that every PCC would increase their precept by £1</w:t>
      </w:r>
      <w:r w:rsidR="00CA2275">
        <w:rPr>
          <w:bCs/>
          <w:sz w:val="22"/>
        </w:rPr>
        <w:t>5</w:t>
      </w:r>
      <w:r w:rsidR="00036F2A">
        <w:rPr>
          <w:bCs/>
          <w:sz w:val="22"/>
        </w:rPr>
        <w:t xml:space="preserve">. </w:t>
      </w:r>
    </w:p>
    <w:p w14:paraId="399A1FE0" w14:textId="7D3D8385" w:rsidR="00E00C79" w:rsidRPr="00E00C79" w:rsidRDefault="00E00C79" w:rsidP="00440E40">
      <w:pPr>
        <w:spacing w:after="120"/>
        <w:ind w:left="1134"/>
        <w:rPr>
          <w:bCs/>
          <w:sz w:val="22"/>
        </w:rPr>
      </w:pPr>
      <w:r w:rsidRPr="00E00C79">
        <w:rPr>
          <w:bCs/>
          <w:sz w:val="22"/>
        </w:rPr>
        <w:t xml:space="preserve">As a result, the MTFS assumes </w:t>
      </w:r>
      <w:r w:rsidR="00036F2A" w:rsidRPr="00036F2A">
        <w:rPr>
          <w:b/>
          <w:sz w:val="22"/>
        </w:rPr>
        <w:t xml:space="preserve">a </w:t>
      </w:r>
      <w:r w:rsidRPr="00E00C79">
        <w:rPr>
          <w:b/>
          <w:sz w:val="22"/>
        </w:rPr>
        <w:t xml:space="preserve">precept increase </w:t>
      </w:r>
      <w:r w:rsidR="00036F2A">
        <w:rPr>
          <w:b/>
          <w:sz w:val="22"/>
        </w:rPr>
        <w:t>of</w:t>
      </w:r>
      <w:r w:rsidRPr="00E00C79">
        <w:rPr>
          <w:b/>
          <w:sz w:val="22"/>
        </w:rPr>
        <w:t xml:space="preserve"> £1</w:t>
      </w:r>
      <w:r w:rsidR="00CA2275">
        <w:rPr>
          <w:b/>
          <w:sz w:val="22"/>
        </w:rPr>
        <w:t>5</w:t>
      </w:r>
      <w:r w:rsidRPr="00E00C79">
        <w:rPr>
          <w:b/>
          <w:sz w:val="22"/>
        </w:rPr>
        <w:t xml:space="preserve"> in 20</w:t>
      </w:r>
      <w:r w:rsidR="00036F2A">
        <w:rPr>
          <w:b/>
          <w:sz w:val="22"/>
        </w:rPr>
        <w:t>2</w:t>
      </w:r>
      <w:r w:rsidR="00CA2275">
        <w:rPr>
          <w:b/>
          <w:sz w:val="22"/>
        </w:rPr>
        <w:t>6/27</w:t>
      </w:r>
      <w:r w:rsidR="00036F2A">
        <w:rPr>
          <w:b/>
          <w:sz w:val="22"/>
        </w:rPr>
        <w:t xml:space="preserve"> and the position if precept increased by the same amount (£1</w:t>
      </w:r>
      <w:r w:rsidR="00CA2275">
        <w:rPr>
          <w:b/>
          <w:sz w:val="22"/>
        </w:rPr>
        <w:t>5</w:t>
      </w:r>
      <w:r w:rsidR="00036F2A">
        <w:rPr>
          <w:b/>
          <w:sz w:val="22"/>
        </w:rPr>
        <w:t>) each year to 2028/29</w:t>
      </w:r>
      <w:r w:rsidRPr="00E00C79">
        <w:rPr>
          <w:bCs/>
          <w:sz w:val="22"/>
        </w:rPr>
        <w:t>.</w:t>
      </w:r>
    </w:p>
    <w:p w14:paraId="68C5ACA3" w14:textId="77777777" w:rsidR="00E00C79" w:rsidRPr="00E00C79" w:rsidRDefault="00E00C79" w:rsidP="00C52D72">
      <w:pPr>
        <w:numPr>
          <w:ilvl w:val="0"/>
          <w:numId w:val="6"/>
        </w:numPr>
        <w:spacing w:after="120"/>
        <w:ind w:left="1134"/>
        <w:rPr>
          <w:sz w:val="22"/>
        </w:rPr>
      </w:pPr>
      <w:r w:rsidRPr="00E00C79">
        <w:rPr>
          <w:sz w:val="22"/>
        </w:rPr>
        <w:t>Taxbase</w:t>
      </w:r>
    </w:p>
    <w:p w14:paraId="027CE85F" w14:textId="77777777" w:rsidR="00E00C79" w:rsidRPr="00E00C79" w:rsidRDefault="00E00C79" w:rsidP="00C52D72">
      <w:pPr>
        <w:spacing w:after="120"/>
        <w:ind w:left="1134"/>
        <w:rPr>
          <w:bCs/>
          <w:sz w:val="22"/>
        </w:rPr>
      </w:pPr>
      <w:r w:rsidRPr="00E00C79">
        <w:rPr>
          <w:bCs/>
          <w:sz w:val="22"/>
        </w:rPr>
        <w:t>This represents the number of properties from which council tax will be received in the County,</w:t>
      </w:r>
    </w:p>
    <w:p w14:paraId="0CEB415B" w14:textId="77777777" w:rsidR="00E00C79" w:rsidRPr="00E00C79" w:rsidRDefault="00E00C79" w:rsidP="00C52D72">
      <w:pPr>
        <w:spacing w:after="120"/>
        <w:ind w:left="1134"/>
        <w:rPr>
          <w:bCs/>
          <w:sz w:val="22"/>
        </w:rPr>
      </w:pPr>
      <w:r w:rsidRPr="00E00C79">
        <w:rPr>
          <w:bCs/>
          <w:sz w:val="22"/>
        </w:rPr>
        <w:t>To enable the income from council tax to be calculated the value of the taxbase is shown as the 'number of Band D equivalent properties' and this figure is then multiplied by the Band D council tax charge for the year.</w:t>
      </w:r>
    </w:p>
    <w:p w14:paraId="3837066B" w14:textId="77777777" w:rsidR="00E00C79" w:rsidRPr="00E00C79" w:rsidRDefault="00E00C79" w:rsidP="00C52D72">
      <w:pPr>
        <w:spacing w:after="120"/>
        <w:ind w:left="1134"/>
        <w:rPr>
          <w:bCs/>
          <w:sz w:val="22"/>
        </w:rPr>
      </w:pPr>
      <w:r w:rsidRPr="00E00C79">
        <w:rPr>
          <w:bCs/>
          <w:sz w:val="22"/>
        </w:rPr>
        <w:t>To calculate the tax base for an area, the number of dwellings in each council tax band is adjusted to take account of any discounts, premiums or exemptions. The resulting figure for each band is then multiplied by its proportion relative to Band D (from 6/9 for Band A to 18/9 for Band H) and the total across all eight bands is calculated. The tax base is used to determine the level of council tax an authority charges each dwelling.</w:t>
      </w:r>
    </w:p>
    <w:p w14:paraId="31FE16D9" w14:textId="6885C260" w:rsidR="00E00C79" w:rsidRPr="00E00C79" w:rsidRDefault="00E00C79" w:rsidP="00C52D72">
      <w:pPr>
        <w:spacing w:after="120"/>
        <w:ind w:left="1134"/>
        <w:rPr>
          <w:bCs/>
          <w:sz w:val="22"/>
        </w:rPr>
      </w:pPr>
      <w:r w:rsidRPr="00E00C79">
        <w:rPr>
          <w:bCs/>
          <w:sz w:val="22"/>
        </w:rPr>
        <w:lastRenderedPageBreak/>
        <w:t xml:space="preserve">The current assumption based on </w:t>
      </w:r>
      <w:r w:rsidR="00CA2275">
        <w:rPr>
          <w:bCs/>
          <w:sz w:val="22"/>
        </w:rPr>
        <w:t>the national average</w:t>
      </w:r>
      <w:r w:rsidRPr="00E00C79">
        <w:rPr>
          <w:bCs/>
          <w:sz w:val="22"/>
        </w:rPr>
        <w:t xml:space="preserve"> is that the taxbase will </w:t>
      </w:r>
      <w:r w:rsidRPr="00E00C79">
        <w:rPr>
          <w:b/>
          <w:sz w:val="22"/>
        </w:rPr>
        <w:t xml:space="preserve">increase by </w:t>
      </w:r>
      <w:r w:rsidR="00CA2275">
        <w:rPr>
          <w:b/>
          <w:sz w:val="22"/>
        </w:rPr>
        <w:t>0.9</w:t>
      </w:r>
      <w:r w:rsidRPr="00E00C79">
        <w:rPr>
          <w:b/>
          <w:sz w:val="22"/>
        </w:rPr>
        <w:t>%</w:t>
      </w:r>
      <w:r w:rsidRPr="00E00C79">
        <w:rPr>
          <w:bCs/>
          <w:sz w:val="22"/>
        </w:rPr>
        <w:t xml:space="preserve"> each year. </w:t>
      </w:r>
    </w:p>
    <w:p w14:paraId="7BBF412B" w14:textId="77777777" w:rsidR="00E00C79" w:rsidRPr="00E00C79" w:rsidRDefault="00E00C79" w:rsidP="00C52D72">
      <w:pPr>
        <w:numPr>
          <w:ilvl w:val="0"/>
          <w:numId w:val="6"/>
        </w:numPr>
        <w:spacing w:after="120"/>
        <w:ind w:left="1134"/>
        <w:rPr>
          <w:sz w:val="22"/>
        </w:rPr>
      </w:pPr>
      <w:r w:rsidRPr="00E00C79">
        <w:rPr>
          <w:sz w:val="22"/>
        </w:rPr>
        <w:t>Council tax surplus/deficit</w:t>
      </w:r>
    </w:p>
    <w:p w14:paraId="7334139E" w14:textId="0874BB78" w:rsidR="00E00C79" w:rsidRPr="00E00C79" w:rsidRDefault="00E00C79" w:rsidP="00C52D72">
      <w:pPr>
        <w:spacing w:after="120"/>
        <w:ind w:left="1134"/>
        <w:rPr>
          <w:bCs/>
          <w:sz w:val="22"/>
        </w:rPr>
      </w:pPr>
      <w:r w:rsidRPr="00E00C79">
        <w:rPr>
          <w:bCs/>
          <w:sz w:val="22"/>
        </w:rPr>
        <w:t xml:space="preserve">The amount of council tax collected each year can vary from the amount calculated at the beginning of the year for </w:t>
      </w:r>
      <w:proofErr w:type="gramStart"/>
      <w:r w:rsidRPr="00E00C79">
        <w:rPr>
          <w:bCs/>
          <w:sz w:val="22"/>
        </w:rPr>
        <w:t>a number of</w:t>
      </w:r>
      <w:proofErr w:type="gramEnd"/>
      <w:r w:rsidRPr="00E00C79">
        <w:rPr>
          <w:bCs/>
          <w:sz w:val="22"/>
        </w:rPr>
        <w:t xml:space="preserve"> reasons. This can result in either a surplus or a deficit being realised. Council tax regulations require any surplus or deficit to be paid over in the year following its generation. In 20</w:t>
      </w:r>
      <w:r w:rsidR="00036F2A">
        <w:rPr>
          <w:bCs/>
          <w:sz w:val="22"/>
        </w:rPr>
        <w:t>25</w:t>
      </w:r>
      <w:r w:rsidR="00CA2275">
        <w:rPr>
          <w:bCs/>
          <w:sz w:val="22"/>
        </w:rPr>
        <w:t>/26</w:t>
      </w:r>
      <w:r w:rsidRPr="00E00C79">
        <w:rPr>
          <w:bCs/>
          <w:sz w:val="22"/>
        </w:rPr>
        <w:t xml:space="preserve"> a surplus of £</w:t>
      </w:r>
      <w:r w:rsidR="00036F2A">
        <w:rPr>
          <w:bCs/>
          <w:sz w:val="22"/>
        </w:rPr>
        <w:t>1.</w:t>
      </w:r>
      <w:r w:rsidR="00CA2275">
        <w:rPr>
          <w:bCs/>
          <w:sz w:val="22"/>
        </w:rPr>
        <w:t>036</w:t>
      </w:r>
      <w:r w:rsidR="00036F2A">
        <w:rPr>
          <w:bCs/>
          <w:sz w:val="22"/>
        </w:rPr>
        <w:t>m</w:t>
      </w:r>
      <w:r w:rsidRPr="00E00C79">
        <w:rPr>
          <w:bCs/>
          <w:sz w:val="22"/>
        </w:rPr>
        <w:t xml:space="preserve"> has been reported, this will be paid over to the Commissioner in 202</w:t>
      </w:r>
      <w:r w:rsidR="00036F2A">
        <w:rPr>
          <w:bCs/>
          <w:sz w:val="22"/>
        </w:rPr>
        <w:t>6</w:t>
      </w:r>
      <w:r w:rsidR="00CA2275">
        <w:rPr>
          <w:bCs/>
          <w:sz w:val="22"/>
        </w:rPr>
        <w:t>/27</w:t>
      </w:r>
      <w:r w:rsidRPr="00E00C79">
        <w:rPr>
          <w:bCs/>
          <w:sz w:val="22"/>
        </w:rPr>
        <w:t>. There is no assumed surplus or deficit in futures years within the MTFS.</w:t>
      </w:r>
    </w:p>
    <w:p w14:paraId="3E8B6E4E" w14:textId="77777777" w:rsidR="00E00C79" w:rsidRPr="00E00C79" w:rsidRDefault="00E00C79" w:rsidP="00E00C79">
      <w:pPr>
        <w:rPr>
          <w:bCs/>
          <w:sz w:val="22"/>
        </w:rPr>
      </w:pPr>
    </w:p>
    <w:p w14:paraId="06137803" w14:textId="77777777" w:rsidR="00E00C79" w:rsidRPr="00E00C79" w:rsidRDefault="00E00C79" w:rsidP="00B03D05">
      <w:pPr>
        <w:pStyle w:val="ListParagraph"/>
        <w:numPr>
          <w:ilvl w:val="1"/>
          <w:numId w:val="3"/>
        </w:numPr>
        <w:spacing w:after="120"/>
        <w:ind w:left="788" w:hanging="431"/>
        <w:contextualSpacing w:val="0"/>
        <w:rPr>
          <w:szCs w:val="22"/>
        </w:rPr>
      </w:pPr>
      <w:r w:rsidRPr="00E00C79">
        <w:rPr>
          <w:szCs w:val="22"/>
        </w:rPr>
        <w:t>Total resources</w:t>
      </w:r>
    </w:p>
    <w:p w14:paraId="33EFBE1E" w14:textId="77777777" w:rsidR="00E00C79" w:rsidRPr="00E00C79" w:rsidRDefault="00E00C79" w:rsidP="00B03D05">
      <w:pPr>
        <w:pStyle w:val="ListParagraph"/>
        <w:numPr>
          <w:ilvl w:val="2"/>
          <w:numId w:val="3"/>
        </w:numPr>
        <w:spacing w:after="120"/>
        <w:contextualSpacing w:val="0"/>
        <w:rPr>
          <w:szCs w:val="22"/>
        </w:rPr>
      </w:pPr>
      <w:r w:rsidRPr="00E00C79">
        <w:rPr>
          <w:szCs w:val="22"/>
        </w:rPr>
        <w:t>This gives a forecast for resources of: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1012"/>
        <w:gridCol w:w="1012"/>
        <w:gridCol w:w="1012"/>
      </w:tblGrid>
      <w:tr w:rsidR="00CA2275" w:rsidRPr="009B6C52" w14:paraId="276A4BE2" w14:textId="0A52772F" w:rsidTr="00A2143E">
        <w:trPr>
          <w:trHeight w:val="405"/>
          <w:jc w:val="center"/>
        </w:trPr>
        <w:tc>
          <w:tcPr>
            <w:tcW w:w="0" w:type="auto"/>
            <w:noWrap/>
            <w:vAlign w:val="bottom"/>
            <w:hideMark/>
          </w:tcPr>
          <w:p w14:paraId="0F5D5320" w14:textId="77777777" w:rsidR="00CA2275" w:rsidRPr="00E00C79" w:rsidRDefault="00CA2275" w:rsidP="00E00C79">
            <w:pPr>
              <w:rPr>
                <w:b/>
                <w:bCs/>
                <w:sz w:val="22"/>
                <w:u w:val="single"/>
              </w:rPr>
            </w:pPr>
            <w:bookmarkStart w:id="0" w:name="_Hlk126670164"/>
          </w:p>
        </w:tc>
        <w:tc>
          <w:tcPr>
            <w:tcW w:w="0" w:type="auto"/>
            <w:noWrap/>
            <w:hideMark/>
          </w:tcPr>
          <w:p w14:paraId="70765B37" w14:textId="0F8F7BFE" w:rsidR="00CA2275" w:rsidRPr="00E00C79" w:rsidRDefault="00CA2275" w:rsidP="00440E40">
            <w:pPr>
              <w:jc w:val="center"/>
              <w:rPr>
                <w:b/>
                <w:bCs/>
                <w:sz w:val="22"/>
              </w:rPr>
            </w:pPr>
            <w:r>
              <w:rPr>
                <w:b/>
                <w:bCs/>
                <w:sz w:val="22"/>
              </w:rPr>
              <w:t>2026/27</w:t>
            </w:r>
          </w:p>
        </w:tc>
        <w:tc>
          <w:tcPr>
            <w:tcW w:w="0" w:type="auto"/>
            <w:noWrap/>
            <w:hideMark/>
          </w:tcPr>
          <w:p w14:paraId="07962DDE" w14:textId="37CA05EA" w:rsidR="00CA2275" w:rsidRPr="00E00C79" w:rsidRDefault="00CA2275" w:rsidP="00440E40">
            <w:pPr>
              <w:jc w:val="center"/>
              <w:rPr>
                <w:b/>
                <w:bCs/>
                <w:sz w:val="22"/>
              </w:rPr>
            </w:pPr>
            <w:r>
              <w:rPr>
                <w:b/>
                <w:bCs/>
                <w:sz w:val="22"/>
              </w:rPr>
              <w:t>2027/28</w:t>
            </w:r>
          </w:p>
        </w:tc>
        <w:tc>
          <w:tcPr>
            <w:tcW w:w="0" w:type="auto"/>
          </w:tcPr>
          <w:p w14:paraId="18B3029E" w14:textId="473EE028" w:rsidR="00CA2275" w:rsidRPr="009B6C52" w:rsidRDefault="00CA2275" w:rsidP="00440E40">
            <w:pPr>
              <w:jc w:val="center"/>
              <w:rPr>
                <w:b/>
                <w:bCs/>
                <w:sz w:val="22"/>
              </w:rPr>
            </w:pPr>
            <w:r>
              <w:rPr>
                <w:b/>
                <w:bCs/>
                <w:sz w:val="22"/>
              </w:rPr>
              <w:t>2028/29</w:t>
            </w:r>
          </w:p>
        </w:tc>
      </w:tr>
      <w:tr w:rsidR="00CA2275" w:rsidRPr="009B6C52" w14:paraId="6626442D" w14:textId="2678383F" w:rsidTr="00A2143E">
        <w:trPr>
          <w:trHeight w:val="315"/>
          <w:jc w:val="center"/>
        </w:trPr>
        <w:tc>
          <w:tcPr>
            <w:tcW w:w="0" w:type="auto"/>
            <w:noWrap/>
            <w:vAlign w:val="bottom"/>
            <w:hideMark/>
          </w:tcPr>
          <w:p w14:paraId="33EDD35A" w14:textId="77777777" w:rsidR="00CA2275" w:rsidRPr="00E00C79" w:rsidRDefault="00CA2275" w:rsidP="00E00C79">
            <w:pPr>
              <w:rPr>
                <w:b/>
                <w:bCs/>
                <w:sz w:val="22"/>
              </w:rPr>
            </w:pPr>
          </w:p>
        </w:tc>
        <w:tc>
          <w:tcPr>
            <w:tcW w:w="0" w:type="auto"/>
            <w:noWrap/>
            <w:hideMark/>
          </w:tcPr>
          <w:p w14:paraId="2123E309" w14:textId="4ED14447" w:rsidR="00CA2275" w:rsidRPr="00E00C79" w:rsidRDefault="00CA2275" w:rsidP="00440E40">
            <w:pPr>
              <w:jc w:val="center"/>
              <w:rPr>
                <w:b/>
                <w:bCs/>
                <w:sz w:val="22"/>
              </w:rPr>
            </w:pPr>
            <w:r w:rsidRPr="00E00C79">
              <w:rPr>
                <w:b/>
                <w:bCs/>
                <w:sz w:val="22"/>
              </w:rPr>
              <w:t>£m</w:t>
            </w:r>
          </w:p>
        </w:tc>
        <w:tc>
          <w:tcPr>
            <w:tcW w:w="0" w:type="auto"/>
            <w:noWrap/>
            <w:hideMark/>
          </w:tcPr>
          <w:p w14:paraId="78C985FD" w14:textId="0C05EDCE" w:rsidR="00CA2275" w:rsidRPr="00E00C79" w:rsidRDefault="00CA2275" w:rsidP="00440E40">
            <w:pPr>
              <w:jc w:val="center"/>
              <w:rPr>
                <w:b/>
                <w:bCs/>
                <w:sz w:val="22"/>
              </w:rPr>
            </w:pPr>
            <w:r w:rsidRPr="00E00C79">
              <w:rPr>
                <w:b/>
                <w:bCs/>
                <w:sz w:val="22"/>
              </w:rPr>
              <w:t>£m</w:t>
            </w:r>
          </w:p>
        </w:tc>
        <w:tc>
          <w:tcPr>
            <w:tcW w:w="0" w:type="auto"/>
          </w:tcPr>
          <w:p w14:paraId="6D12A259" w14:textId="7E89E673" w:rsidR="00CA2275" w:rsidRPr="009B6C52" w:rsidRDefault="00CA2275" w:rsidP="00440E40">
            <w:pPr>
              <w:jc w:val="center"/>
              <w:rPr>
                <w:b/>
                <w:bCs/>
                <w:sz w:val="22"/>
              </w:rPr>
            </w:pPr>
            <w:r w:rsidRPr="00E00C79">
              <w:rPr>
                <w:b/>
                <w:bCs/>
                <w:sz w:val="22"/>
              </w:rPr>
              <w:t>£m</w:t>
            </w:r>
          </w:p>
        </w:tc>
      </w:tr>
      <w:tr w:rsidR="00CA2275" w:rsidRPr="009B6C52" w14:paraId="45359A88" w14:textId="7EEB2BE3" w:rsidTr="00CA2275">
        <w:trPr>
          <w:trHeight w:val="300"/>
          <w:jc w:val="center"/>
        </w:trPr>
        <w:tc>
          <w:tcPr>
            <w:tcW w:w="0" w:type="auto"/>
            <w:noWrap/>
            <w:vAlign w:val="center"/>
            <w:hideMark/>
          </w:tcPr>
          <w:p w14:paraId="6512698E" w14:textId="77777777" w:rsidR="00CA2275" w:rsidRPr="00E00C79" w:rsidRDefault="00CA2275" w:rsidP="00E00C79">
            <w:pPr>
              <w:rPr>
                <w:sz w:val="22"/>
              </w:rPr>
            </w:pPr>
            <w:r w:rsidRPr="00E00C79">
              <w:rPr>
                <w:sz w:val="22"/>
              </w:rPr>
              <w:t>'Core' Grant</w:t>
            </w:r>
          </w:p>
        </w:tc>
        <w:tc>
          <w:tcPr>
            <w:tcW w:w="0" w:type="auto"/>
            <w:noWrap/>
            <w:vAlign w:val="center"/>
          </w:tcPr>
          <w:p w14:paraId="5713F3B3" w14:textId="7D09D63C" w:rsidR="00CA2275" w:rsidRPr="00E00C79" w:rsidRDefault="009B4BE3" w:rsidP="00440E40">
            <w:pPr>
              <w:jc w:val="right"/>
              <w:rPr>
                <w:sz w:val="22"/>
              </w:rPr>
            </w:pPr>
            <w:r>
              <w:rPr>
                <w:sz w:val="22"/>
              </w:rPr>
              <w:t>277.366</w:t>
            </w:r>
          </w:p>
        </w:tc>
        <w:tc>
          <w:tcPr>
            <w:tcW w:w="0" w:type="auto"/>
            <w:noWrap/>
            <w:vAlign w:val="center"/>
          </w:tcPr>
          <w:p w14:paraId="33790806" w14:textId="1E6D962A" w:rsidR="00CA2275" w:rsidRPr="00E00C79" w:rsidRDefault="009B4BE3" w:rsidP="00440E40">
            <w:pPr>
              <w:jc w:val="right"/>
              <w:rPr>
                <w:sz w:val="22"/>
              </w:rPr>
            </w:pPr>
            <w:r>
              <w:rPr>
                <w:sz w:val="22"/>
              </w:rPr>
              <w:t>282.761</w:t>
            </w:r>
          </w:p>
        </w:tc>
        <w:tc>
          <w:tcPr>
            <w:tcW w:w="0" w:type="auto"/>
            <w:vAlign w:val="center"/>
          </w:tcPr>
          <w:p w14:paraId="1EFF9189" w14:textId="0F555292" w:rsidR="00CA2275" w:rsidRPr="009B6C52" w:rsidRDefault="009B4BE3" w:rsidP="00C81BFE">
            <w:pPr>
              <w:jc w:val="right"/>
              <w:rPr>
                <w:sz w:val="22"/>
              </w:rPr>
            </w:pPr>
            <w:r>
              <w:rPr>
                <w:sz w:val="22"/>
              </w:rPr>
              <w:t>288.303</w:t>
            </w:r>
          </w:p>
        </w:tc>
      </w:tr>
      <w:tr w:rsidR="00CA2275" w:rsidRPr="009B6C52" w14:paraId="6E865117" w14:textId="77777777" w:rsidTr="00C81BFE">
        <w:trPr>
          <w:trHeight w:val="300"/>
          <w:jc w:val="center"/>
        </w:trPr>
        <w:tc>
          <w:tcPr>
            <w:tcW w:w="0" w:type="auto"/>
            <w:noWrap/>
            <w:vAlign w:val="center"/>
          </w:tcPr>
          <w:p w14:paraId="046BABC8" w14:textId="24FB8297" w:rsidR="00CA2275" w:rsidRPr="00E00C79" w:rsidRDefault="00CA2275" w:rsidP="00E00C79">
            <w:pPr>
              <w:rPr>
                <w:sz w:val="22"/>
              </w:rPr>
            </w:pPr>
            <w:r>
              <w:rPr>
                <w:sz w:val="22"/>
              </w:rPr>
              <w:t>Neighbourhood Policing Guarantee</w:t>
            </w:r>
          </w:p>
        </w:tc>
        <w:tc>
          <w:tcPr>
            <w:tcW w:w="0" w:type="auto"/>
            <w:noWrap/>
            <w:vAlign w:val="center"/>
          </w:tcPr>
          <w:p w14:paraId="58EE5404" w14:textId="3E330D87" w:rsidR="00CA2275" w:rsidRPr="00E00C79" w:rsidRDefault="003E6DC5" w:rsidP="00440E40">
            <w:pPr>
              <w:jc w:val="right"/>
              <w:rPr>
                <w:sz w:val="22"/>
              </w:rPr>
            </w:pPr>
            <w:r>
              <w:rPr>
                <w:sz w:val="22"/>
              </w:rPr>
              <w:t>9.309</w:t>
            </w:r>
          </w:p>
        </w:tc>
        <w:tc>
          <w:tcPr>
            <w:tcW w:w="0" w:type="auto"/>
            <w:noWrap/>
            <w:vAlign w:val="center"/>
          </w:tcPr>
          <w:p w14:paraId="4A19FBDD" w14:textId="527C7E16" w:rsidR="00CA2275" w:rsidRPr="00E00C79" w:rsidRDefault="003E6DC5" w:rsidP="00440E40">
            <w:pPr>
              <w:jc w:val="right"/>
              <w:rPr>
                <w:sz w:val="22"/>
              </w:rPr>
            </w:pPr>
            <w:r>
              <w:rPr>
                <w:sz w:val="22"/>
              </w:rPr>
              <w:t>9.495</w:t>
            </w:r>
          </w:p>
        </w:tc>
        <w:tc>
          <w:tcPr>
            <w:tcW w:w="0" w:type="auto"/>
            <w:vAlign w:val="center"/>
          </w:tcPr>
          <w:p w14:paraId="61E02207" w14:textId="5CB71CAA" w:rsidR="00CA2275" w:rsidRDefault="003E6DC5" w:rsidP="00C81BFE">
            <w:pPr>
              <w:jc w:val="right"/>
              <w:rPr>
                <w:sz w:val="22"/>
              </w:rPr>
            </w:pPr>
            <w:r>
              <w:rPr>
                <w:sz w:val="22"/>
              </w:rPr>
              <w:t>9.685</w:t>
            </w:r>
          </w:p>
        </w:tc>
      </w:tr>
      <w:tr w:rsidR="00CA2275" w:rsidRPr="009B6C52" w14:paraId="14D0EC12" w14:textId="631C9EC2" w:rsidTr="00CA2275">
        <w:trPr>
          <w:trHeight w:val="300"/>
          <w:jc w:val="center"/>
        </w:trPr>
        <w:tc>
          <w:tcPr>
            <w:tcW w:w="0" w:type="auto"/>
            <w:noWrap/>
            <w:vAlign w:val="center"/>
            <w:hideMark/>
          </w:tcPr>
          <w:p w14:paraId="42967BED" w14:textId="77777777" w:rsidR="00CA2275" w:rsidRPr="00E00C79" w:rsidRDefault="00CA2275" w:rsidP="00E00C79">
            <w:pPr>
              <w:rPr>
                <w:sz w:val="22"/>
              </w:rPr>
            </w:pPr>
            <w:r w:rsidRPr="00E00C79">
              <w:rPr>
                <w:sz w:val="22"/>
              </w:rPr>
              <w:t>Pensions Grant</w:t>
            </w:r>
          </w:p>
        </w:tc>
        <w:tc>
          <w:tcPr>
            <w:tcW w:w="0" w:type="auto"/>
            <w:noWrap/>
            <w:vAlign w:val="center"/>
          </w:tcPr>
          <w:p w14:paraId="4EA02F34" w14:textId="16F13C0D" w:rsidR="00CA2275" w:rsidRPr="00E00C79" w:rsidRDefault="003E6DC5" w:rsidP="00440E40">
            <w:pPr>
              <w:jc w:val="right"/>
              <w:rPr>
                <w:sz w:val="22"/>
              </w:rPr>
            </w:pPr>
            <w:r>
              <w:rPr>
                <w:sz w:val="22"/>
              </w:rPr>
              <w:t>9.816</w:t>
            </w:r>
          </w:p>
        </w:tc>
        <w:tc>
          <w:tcPr>
            <w:tcW w:w="0" w:type="auto"/>
            <w:noWrap/>
            <w:vAlign w:val="center"/>
          </w:tcPr>
          <w:p w14:paraId="723FCE0E" w14:textId="7B732CD7" w:rsidR="00CA2275" w:rsidRPr="00E00C79" w:rsidRDefault="003E6DC5" w:rsidP="00440E40">
            <w:pPr>
              <w:jc w:val="right"/>
              <w:rPr>
                <w:sz w:val="22"/>
              </w:rPr>
            </w:pPr>
            <w:r>
              <w:rPr>
                <w:sz w:val="22"/>
              </w:rPr>
              <w:t>9.800</w:t>
            </w:r>
          </w:p>
        </w:tc>
        <w:tc>
          <w:tcPr>
            <w:tcW w:w="0" w:type="auto"/>
            <w:vAlign w:val="center"/>
          </w:tcPr>
          <w:p w14:paraId="5C037335" w14:textId="68A3245F" w:rsidR="00CA2275" w:rsidRPr="009B6C52" w:rsidRDefault="003E6DC5" w:rsidP="00C81BFE">
            <w:pPr>
              <w:jc w:val="right"/>
              <w:rPr>
                <w:sz w:val="22"/>
              </w:rPr>
            </w:pPr>
            <w:r>
              <w:rPr>
                <w:sz w:val="22"/>
              </w:rPr>
              <w:t>9.800</w:t>
            </w:r>
          </w:p>
        </w:tc>
      </w:tr>
      <w:tr w:rsidR="00CA2275" w:rsidRPr="009B6C52" w14:paraId="57A29789" w14:textId="0B67A654" w:rsidTr="00CA2275">
        <w:trPr>
          <w:trHeight w:val="300"/>
          <w:jc w:val="center"/>
        </w:trPr>
        <w:tc>
          <w:tcPr>
            <w:tcW w:w="0" w:type="auto"/>
            <w:noWrap/>
            <w:vAlign w:val="center"/>
            <w:hideMark/>
          </w:tcPr>
          <w:p w14:paraId="2DFD211E" w14:textId="77777777" w:rsidR="00CA2275" w:rsidRPr="00E00C79" w:rsidRDefault="00CA2275" w:rsidP="00E00C79">
            <w:pPr>
              <w:rPr>
                <w:sz w:val="22"/>
              </w:rPr>
            </w:pPr>
            <w:r w:rsidRPr="00E00C79">
              <w:rPr>
                <w:sz w:val="22"/>
              </w:rPr>
              <w:t>Victims grant</w:t>
            </w:r>
          </w:p>
        </w:tc>
        <w:tc>
          <w:tcPr>
            <w:tcW w:w="0" w:type="auto"/>
            <w:noWrap/>
            <w:vAlign w:val="center"/>
          </w:tcPr>
          <w:p w14:paraId="1D603F54" w14:textId="650732DA" w:rsidR="00CA2275" w:rsidRPr="00E00C79" w:rsidRDefault="003E6DC5" w:rsidP="00440E40">
            <w:pPr>
              <w:jc w:val="right"/>
              <w:rPr>
                <w:sz w:val="22"/>
              </w:rPr>
            </w:pPr>
            <w:r>
              <w:rPr>
                <w:sz w:val="22"/>
              </w:rPr>
              <w:t>2.186</w:t>
            </w:r>
          </w:p>
        </w:tc>
        <w:tc>
          <w:tcPr>
            <w:tcW w:w="0" w:type="auto"/>
            <w:noWrap/>
            <w:vAlign w:val="center"/>
          </w:tcPr>
          <w:p w14:paraId="106A4340" w14:textId="06DB93BB" w:rsidR="00CA2275" w:rsidRPr="00E00C79" w:rsidRDefault="003E6DC5" w:rsidP="00440E40">
            <w:pPr>
              <w:jc w:val="right"/>
              <w:rPr>
                <w:sz w:val="22"/>
              </w:rPr>
            </w:pPr>
            <w:r>
              <w:rPr>
                <w:sz w:val="22"/>
              </w:rPr>
              <w:t>2.186</w:t>
            </w:r>
          </w:p>
        </w:tc>
        <w:tc>
          <w:tcPr>
            <w:tcW w:w="0" w:type="auto"/>
            <w:vAlign w:val="center"/>
          </w:tcPr>
          <w:p w14:paraId="2264917A" w14:textId="63572810" w:rsidR="00CA2275" w:rsidRPr="009B6C52" w:rsidRDefault="003E6DC5" w:rsidP="00C81BFE">
            <w:pPr>
              <w:jc w:val="right"/>
              <w:rPr>
                <w:sz w:val="22"/>
              </w:rPr>
            </w:pPr>
            <w:r>
              <w:rPr>
                <w:sz w:val="22"/>
              </w:rPr>
              <w:t>2.186</w:t>
            </w:r>
          </w:p>
        </w:tc>
      </w:tr>
      <w:tr w:rsidR="00CA2275" w:rsidRPr="009B6C52" w14:paraId="1DC8BAED" w14:textId="072DA833" w:rsidTr="00C81BFE">
        <w:trPr>
          <w:trHeight w:val="300"/>
          <w:jc w:val="center"/>
        </w:trPr>
        <w:tc>
          <w:tcPr>
            <w:tcW w:w="0" w:type="auto"/>
            <w:noWrap/>
            <w:vAlign w:val="center"/>
          </w:tcPr>
          <w:p w14:paraId="139C3FD5" w14:textId="77777777" w:rsidR="00CA2275" w:rsidRPr="00E00C79" w:rsidRDefault="00CA2275" w:rsidP="00E00C79">
            <w:pPr>
              <w:rPr>
                <w:sz w:val="22"/>
              </w:rPr>
            </w:pPr>
            <w:r w:rsidRPr="00E00C79">
              <w:rPr>
                <w:sz w:val="22"/>
              </w:rPr>
              <w:t>CT Grant</w:t>
            </w:r>
          </w:p>
        </w:tc>
        <w:tc>
          <w:tcPr>
            <w:tcW w:w="0" w:type="auto"/>
            <w:noWrap/>
            <w:vAlign w:val="center"/>
          </w:tcPr>
          <w:p w14:paraId="5E7718A8" w14:textId="1707B7E0" w:rsidR="00CA2275" w:rsidRPr="00E00C79" w:rsidRDefault="003E6DC5" w:rsidP="00440E40">
            <w:pPr>
              <w:jc w:val="right"/>
              <w:rPr>
                <w:sz w:val="22"/>
              </w:rPr>
            </w:pPr>
            <w:r>
              <w:rPr>
                <w:sz w:val="22"/>
              </w:rPr>
              <w:t>3.826</w:t>
            </w:r>
          </w:p>
        </w:tc>
        <w:tc>
          <w:tcPr>
            <w:tcW w:w="0" w:type="auto"/>
            <w:noWrap/>
            <w:vAlign w:val="center"/>
          </w:tcPr>
          <w:p w14:paraId="19F9C35E" w14:textId="5E7ACA90" w:rsidR="00CA2275" w:rsidRPr="00E00C79" w:rsidRDefault="003E6DC5" w:rsidP="00440E40">
            <w:pPr>
              <w:jc w:val="right"/>
              <w:rPr>
                <w:sz w:val="22"/>
              </w:rPr>
            </w:pPr>
            <w:r>
              <w:rPr>
                <w:sz w:val="22"/>
              </w:rPr>
              <w:t>3.925</w:t>
            </w:r>
          </w:p>
        </w:tc>
        <w:tc>
          <w:tcPr>
            <w:tcW w:w="0" w:type="auto"/>
            <w:vAlign w:val="center"/>
          </w:tcPr>
          <w:p w14:paraId="7D9A6CD0" w14:textId="40C39F34" w:rsidR="00CA2275" w:rsidRPr="009B6C52" w:rsidRDefault="003E6DC5" w:rsidP="00C81BFE">
            <w:pPr>
              <w:jc w:val="right"/>
              <w:rPr>
                <w:sz w:val="22"/>
              </w:rPr>
            </w:pPr>
            <w:r>
              <w:rPr>
                <w:sz w:val="22"/>
              </w:rPr>
              <w:t>4.027</w:t>
            </w:r>
          </w:p>
        </w:tc>
      </w:tr>
      <w:tr w:rsidR="00CA2275" w:rsidRPr="009B6C52" w14:paraId="5703F0CA" w14:textId="284D61EC" w:rsidTr="00C81BFE">
        <w:trPr>
          <w:trHeight w:val="300"/>
          <w:jc w:val="center"/>
        </w:trPr>
        <w:tc>
          <w:tcPr>
            <w:tcW w:w="0" w:type="auto"/>
            <w:noWrap/>
            <w:vAlign w:val="center"/>
          </w:tcPr>
          <w:p w14:paraId="38B7DE67" w14:textId="77777777" w:rsidR="00CA2275" w:rsidRPr="00E00C79" w:rsidRDefault="00CA2275" w:rsidP="00E00C79">
            <w:pPr>
              <w:rPr>
                <w:sz w:val="22"/>
              </w:rPr>
            </w:pPr>
            <w:r w:rsidRPr="00E00C79">
              <w:rPr>
                <w:sz w:val="22"/>
              </w:rPr>
              <w:t>Precept income</w:t>
            </w:r>
          </w:p>
        </w:tc>
        <w:tc>
          <w:tcPr>
            <w:tcW w:w="0" w:type="auto"/>
            <w:noWrap/>
            <w:vAlign w:val="center"/>
          </w:tcPr>
          <w:p w14:paraId="121755E6" w14:textId="3BF82A65" w:rsidR="00CA2275" w:rsidRPr="00E00C79" w:rsidRDefault="003E6DC5" w:rsidP="00440E40">
            <w:pPr>
              <w:jc w:val="right"/>
              <w:rPr>
                <w:sz w:val="22"/>
              </w:rPr>
            </w:pPr>
            <w:r>
              <w:rPr>
                <w:sz w:val="22"/>
              </w:rPr>
              <w:t>139.098</w:t>
            </w:r>
          </w:p>
        </w:tc>
        <w:tc>
          <w:tcPr>
            <w:tcW w:w="0" w:type="auto"/>
            <w:noWrap/>
            <w:vAlign w:val="center"/>
          </w:tcPr>
          <w:p w14:paraId="24471BD8" w14:textId="173B0BBE" w:rsidR="00CA2275" w:rsidRPr="00E00C79" w:rsidRDefault="003E6DC5" w:rsidP="00440E40">
            <w:pPr>
              <w:jc w:val="right"/>
              <w:rPr>
                <w:sz w:val="22"/>
              </w:rPr>
            </w:pPr>
            <w:r>
              <w:rPr>
                <w:sz w:val="22"/>
              </w:rPr>
              <w:t>147.593</w:t>
            </w:r>
          </w:p>
        </w:tc>
        <w:tc>
          <w:tcPr>
            <w:tcW w:w="0" w:type="auto"/>
            <w:vAlign w:val="center"/>
          </w:tcPr>
          <w:p w14:paraId="3BB2660A" w14:textId="246F72FF" w:rsidR="00CA2275" w:rsidRPr="009B6C52" w:rsidRDefault="003E6DC5" w:rsidP="00C81BFE">
            <w:pPr>
              <w:jc w:val="right"/>
              <w:rPr>
                <w:sz w:val="22"/>
              </w:rPr>
            </w:pPr>
            <w:r>
              <w:rPr>
                <w:sz w:val="22"/>
              </w:rPr>
              <w:t>156.164</w:t>
            </w:r>
          </w:p>
        </w:tc>
      </w:tr>
      <w:tr w:rsidR="00CA2275" w:rsidRPr="009B6C52" w14:paraId="2A770BA8" w14:textId="4601562A" w:rsidTr="00C81BFE">
        <w:trPr>
          <w:trHeight w:val="300"/>
          <w:jc w:val="center"/>
        </w:trPr>
        <w:tc>
          <w:tcPr>
            <w:tcW w:w="0" w:type="auto"/>
            <w:noWrap/>
            <w:vAlign w:val="center"/>
          </w:tcPr>
          <w:p w14:paraId="4D396A3C" w14:textId="77777777" w:rsidR="00CA2275" w:rsidRPr="00E00C79" w:rsidRDefault="00CA2275" w:rsidP="00E00C79">
            <w:pPr>
              <w:rPr>
                <w:sz w:val="22"/>
              </w:rPr>
            </w:pPr>
            <w:r w:rsidRPr="00E00C79">
              <w:rPr>
                <w:sz w:val="22"/>
              </w:rPr>
              <w:t>Council Tax Surplus/Deficit</w:t>
            </w:r>
          </w:p>
        </w:tc>
        <w:tc>
          <w:tcPr>
            <w:tcW w:w="0" w:type="auto"/>
            <w:noWrap/>
            <w:vAlign w:val="center"/>
          </w:tcPr>
          <w:p w14:paraId="49FE8347" w14:textId="7F564D6D" w:rsidR="00CA2275" w:rsidRPr="00E00C79" w:rsidRDefault="003E6DC5" w:rsidP="00440E40">
            <w:pPr>
              <w:jc w:val="right"/>
              <w:rPr>
                <w:sz w:val="22"/>
              </w:rPr>
            </w:pPr>
            <w:r>
              <w:rPr>
                <w:sz w:val="22"/>
              </w:rPr>
              <w:t>1.036</w:t>
            </w:r>
          </w:p>
        </w:tc>
        <w:tc>
          <w:tcPr>
            <w:tcW w:w="0" w:type="auto"/>
            <w:noWrap/>
            <w:vAlign w:val="center"/>
          </w:tcPr>
          <w:p w14:paraId="43FF0BDE" w14:textId="2CE54471" w:rsidR="00CA2275" w:rsidRPr="00E00C79" w:rsidRDefault="003E6DC5" w:rsidP="00440E40">
            <w:pPr>
              <w:jc w:val="right"/>
              <w:rPr>
                <w:sz w:val="22"/>
              </w:rPr>
            </w:pPr>
            <w:r>
              <w:rPr>
                <w:sz w:val="22"/>
              </w:rPr>
              <w:t>0</w:t>
            </w:r>
          </w:p>
        </w:tc>
        <w:tc>
          <w:tcPr>
            <w:tcW w:w="0" w:type="auto"/>
            <w:vAlign w:val="center"/>
          </w:tcPr>
          <w:p w14:paraId="3C535C81" w14:textId="727F7A0A" w:rsidR="00CA2275" w:rsidRPr="009B6C52" w:rsidRDefault="003E6DC5" w:rsidP="00C81BFE">
            <w:pPr>
              <w:jc w:val="right"/>
              <w:rPr>
                <w:sz w:val="22"/>
              </w:rPr>
            </w:pPr>
            <w:r>
              <w:rPr>
                <w:sz w:val="22"/>
              </w:rPr>
              <w:t>0</w:t>
            </w:r>
          </w:p>
        </w:tc>
      </w:tr>
      <w:tr w:rsidR="00CA2275" w:rsidRPr="009B6C52" w14:paraId="202DD9FF" w14:textId="65109322" w:rsidTr="00C81BFE">
        <w:trPr>
          <w:trHeight w:val="491"/>
          <w:jc w:val="center"/>
        </w:trPr>
        <w:tc>
          <w:tcPr>
            <w:tcW w:w="0" w:type="auto"/>
            <w:shd w:val="clear" w:color="auto" w:fill="B4C6E7" w:themeFill="accent5" w:themeFillTint="66"/>
            <w:noWrap/>
            <w:vAlign w:val="center"/>
          </w:tcPr>
          <w:p w14:paraId="3406F4DD" w14:textId="77777777" w:rsidR="00CA2275" w:rsidRPr="00E00C79" w:rsidRDefault="00CA2275" w:rsidP="00E00C79">
            <w:pPr>
              <w:rPr>
                <w:b/>
                <w:bCs/>
                <w:sz w:val="22"/>
              </w:rPr>
            </w:pPr>
            <w:r w:rsidRPr="00E00C79">
              <w:rPr>
                <w:b/>
                <w:bCs/>
                <w:sz w:val="22"/>
              </w:rPr>
              <w:t>Resources</w:t>
            </w:r>
          </w:p>
        </w:tc>
        <w:tc>
          <w:tcPr>
            <w:tcW w:w="0" w:type="auto"/>
            <w:shd w:val="clear" w:color="auto" w:fill="B4C6E7" w:themeFill="accent5" w:themeFillTint="66"/>
            <w:noWrap/>
            <w:vAlign w:val="center"/>
          </w:tcPr>
          <w:p w14:paraId="529EE6C8" w14:textId="04318061" w:rsidR="00CA2275" w:rsidRPr="00E00C79" w:rsidRDefault="009B4BE3" w:rsidP="00440E40">
            <w:pPr>
              <w:jc w:val="right"/>
              <w:rPr>
                <w:b/>
                <w:bCs/>
                <w:sz w:val="22"/>
              </w:rPr>
            </w:pPr>
            <w:r>
              <w:rPr>
                <w:b/>
                <w:bCs/>
                <w:sz w:val="22"/>
              </w:rPr>
              <w:fldChar w:fldCharType="begin"/>
            </w:r>
            <w:r>
              <w:rPr>
                <w:b/>
                <w:bCs/>
                <w:sz w:val="22"/>
              </w:rPr>
              <w:instrText xml:space="preserve"> =SUM(ABOVE) </w:instrText>
            </w:r>
            <w:r>
              <w:rPr>
                <w:b/>
                <w:bCs/>
                <w:sz w:val="22"/>
              </w:rPr>
              <w:fldChar w:fldCharType="separate"/>
            </w:r>
            <w:r>
              <w:rPr>
                <w:b/>
                <w:bCs/>
                <w:noProof/>
                <w:sz w:val="22"/>
              </w:rPr>
              <w:t>442.637</w:t>
            </w:r>
            <w:r>
              <w:rPr>
                <w:b/>
                <w:bCs/>
                <w:sz w:val="22"/>
              </w:rPr>
              <w:fldChar w:fldCharType="end"/>
            </w:r>
          </w:p>
        </w:tc>
        <w:tc>
          <w:tcPr>
            <w:tcW w:w="0" w:type="auto"/>
            <w:shd w:val="clear" w:color="auto" w:fill="B4C6E7" w:themeFill="accent5" w:themeFillTint="66"/>
            <w:noWrap/>
            <w:vAlign w:val="center"/>
          </w:tcPr>
          <w:p w14:paraId="350872EE" w14:textId="19B6C8A2" w:rsidR="00CA2275" w:rsidRPr="00E00C79" w:rsidRDefault="009B4BE3" w:rsidP="00440E40">
            <w:pPr>
              <w:jc w:val="right"/>
              <w:rPr>
                <w:b/>
                <w:bCs/>
                <w:sz w:val="22"/>
              </w:rPr>
            </w:pPr>
            <w:r>
              <w:rPr>
                <w:b/>
                <w:bCs/>
                <w:sz w:val="22"/>
              </w:rPr>
              <w:fldChar w:fldCharType="begin"/>
            </w:r>
            <w:r>
              <w:rPr>
                <w:b/>
                <w:bCs/>
                <w:sz w:val="22"/>
              </w:rPr>
              <w:instrText xml:space="preserve"> =SUM(ABOVE) </w:instrText>
            </w:r>
            <w:r>
              <w:rPr>
                <w:b/>
                <w:bCs/>
                <w:sz w:val="22"/>
              </w:rPr>
              <w:fldChar w:fldCharType="separate"/>
            </w:r>
            <w:r>
              <w:rPr>
                <w:b/>
                <w:bCs/>
                <w:noProof/>
                <w:sz w:val="22"/>
              </w:rPr>
              <w:t>455.76</w:t>
            </w:r>
            <w:r>
              <w:rPr>
                <w:b/>
                <w:bCs/>
                <w:sz w:val="22"/>
              </w:rPr>
              <w:fldChar w:fldCharType="end"/>
            </w:r>
            <w:r>
              <w:rPr>
                <w:b/>
                <w:bCs/>
                <w:sz w:val="22"/>
              </w:rPr>
              <w:t>0</w:t>
            </w:r>
          </w:p>
        </w:tc>
        <w:tc>
          <w:tcPr>
            <w:tcW w:w="0" w:type="auto"/>
            <w:shd w:val="clear" w:color="auto" w:fill="B4C6E7" w:themeFill="accent5" w:themeFillTint="66"/>
            <w:vAlign w:val="center"/>
          </w:tcPr>
          <w:p w14:paraId="47E96A20" w14:textId="49D6703F" w:rsidR="00CA2275" w:rsidRPr="009B6C52" w:rsidRDefault="009B4BE3" w:rsidP="00C81BFE">
            <w:pPr>
              <w:jc w:val="right"/>
              <w:rPr>
                <w:b/>
                <w:bCs/>
                <w:sz w:val="22"/>
              </w:rPr>
            </w:pPr>
            <w:r>
              <w:rPr>
                <w:b/>
                <w:bCs/>
                <w:sz w:val="22"/>
              </w:rPr>
              <w:fldChar w:fldCharType="begin"/>
            </w:r>
            <w:r>
              <w:rPr>
                <w:b/>
                <w:bCs/>
                <w:sz w:val="22"/>
              </w:rPr>
              <w:instrText xml:space="preserve"> =SUM(ABOVE) </w:instrText>
            </w:r>
            <w:r>
              <w:rPr>
                <w:b/>
                <w:bCs/>
                <w:sz w:val="22"/>
              </w:rPr>
              <w:fldChar w:fldCharType="separate"/>
            </w:r>
            <w:r>
              <w:rPr>
                <w:b/>
                <w:bCs/>
                <w:noProof/>
                <w:sz w:val="22"/>
              </w:rPr>
              <w:t>470.165</w:t>
            </w:r>
            <w:r>
              <w:rPr>
                <w:b/>
                <w:bCs/>
                <w:sz w:val="22"/>
              </w:rPr>
              <w:fldChar w:fldCharType="end"/>
            </w:r>
          </w:p>
        </w:tc>
      </w:tr>
      <w:bookmarkEnd w:id="0"/>
    </w:tbl>
    <w:p w14:paraId="1A10D4B2" w14:textId="77777777" w:rsidR="00E00C79" w:rsidRPr="00E00C79" w:rsidRDefault="00E00C79" w:rsidP="00E00C79">
      <w:pPr>
        <w:rPr>
          <w:sz w:val="22"/>
        </w:rPr>
      </w:pPr>
    </w:p>
    <w:p w14:paraId="12BC67F7" w14:textId="77777777" w:rsidR="00E00C79" w:rsidRPr="00E00C79" w:rsidRDefault="00E00C79" w:rsidP="00E00C79">
      <w:pPr>
        <w:rPr>
          <w:sz w:val="22"/>
        </w:rPr>
      </w:pPr>
    </w:p>
    <w:p w14:paraId="60ED2427" w14:textId="1E67552C" w:rsidR="00E00C79" w:rsidRPr="00E00C79" w:rsidRDefault="00E00C79" w:rsidP="00B46295">
      <w:pPr>
        <w:pStyle w:val="ListParagraph"/>
        <w:numPr>
          <w:ilvl w:val="1"/>
          <w:numId w:val="3"/>
        </w:numPr>
        <w:spacing w:after="120"/>
        <w:ind w:left="788" w:hanging="431"/>
        <w:contextualSpacing w:val="0"/>
        <w:rPr>
          <w:szCs w:val="22"/>
        </w:rPr>
      </w:pPr>
      <w:r w:rsidRPr="00E00C79">
        <w:rPr>
          <w:szCs w:val="22"/>
        </w:rPr>
        <w:t>Expenditure</w:t>
      </w:r>
      <w:r w:rsidR="00F87B0D">
        <w:rPr>
          <w:szCs w:val="22"/>
        </w:rPr>
        <w:t xml:space="preserve"> – cost pressures reflected in the 2026</w:t>
      </w:r>
      <w:r w:rsidR="009B4BE3">
        <w:rPr>
          <w:szCs w:val="22"/>
        </w:rPr>
        <w:t>/27</w:t>
      </w:r>
      <w:r w:rsidR="00F87B0D">
        <w:rPr>
          <w:szCs w:val="22"/>
        </w:rPr>
        <w:t xml:space="preserve"> budget and MTFS</w:t>
      </w:r>
    </w:p>
    <w:p w14:paraId="0490D991" w14:textId="77777777" w:rsidR="00E00C79" w:rsidRPr="00E00C79" w:rsidRDefault="00E00C79" w:rsidP="00B46295">
      <w:pPr>
        <w:pStyle w:val="ListParagraph"/>
        <w:numPr>
          <w:ilvl w:val="2"/>
          <w:numId w:val="3"/>
        </w:numPr>
        <w:spacing w:after="120"/>
        <w:contextualSpacing w:val="0"/>
        <w:rPr>
          <w:szCs w:val="22"/>
        </w:rPr>
      </w:pPr>
      <w:r w:rsidRPr="00E00C79">
        <w:rPr>
          <w:szCs w:val="22"/>
        </w:rPr>
        <w:t>Pay</w:t>
      </w:r>
    </w:p>
    <w:p w14:paraId="00F773E9" w14:textId="2A35A6E3" w:rsidR="00E00C79" w:rsidRDefault="00E00C79" w:rsidP="00B46295">
      <w:pPr>
        <w:spacing w:after="120"/>
        <w:ind w:left="1134"/>
        <w:rPr>
          <w:bCs/>
          <w:sz w:val="22"/>
        </w:rPr>
      </w:pPr>
      <w:r w:rsidRPr="00E00C79">
        <w:rPr>
          <w:bCs/>
          <w:sz w:val="22"/>
        </w:rPr>
        <w:t xml:space="preserve">Pay represents the single most significant element of cost for the </w:t>
      </w:r>
      <w:proofErr w:type="gramStart"/>
      <w:r w:rsidRPr="00E00C79">
        <w:rPr>
          <w:bCs/>
          <w:sz w:val="22"/>
        </w:rPr>
        <w:t>organisation</w:t>
      </w:r>
      <w:proofErr w:type="gramEnd"/>
      <w:r w:rsidRPr="00E00C79">
        <w:rPr>
          <w:bCs/>
          <w:sz w:val="22"/>
        </w:rPr>
        <w:t xml:space="preserve"> and any changes have a major impact for the budget.</w:t>
      </w:r>
    </w:p>
    <w:p w14:paraId="3D1617A9" w14:textId="2EEDB80D" w:rsidR="00E766F3" w:rsidRPr="00E00C79" w:rsidRDefault="00E766F3" w:rsidP="00B46295">
      <w:pPr>
        <w:spacing w:after="120"/>
        <w:ind w:left="1134"/>
        <w:rPr>
          <w:bCs/>
          <w:sz w:val="22"/>
        </w:rPr>
      </w:pPr>
      <w:r w:rsidRPr="0027255F">
        <w:rPr>
          <w:rFonts w:cs="Arial"/>
          <w:sz w:val="22"/>
          <w:lang w:eastAsia="en-US"/>
        </w:rPr>
        <w:t>The impact of the 4.</w:t>
      </w:r>
      <w:r w:rsidR="009B4BE3">
        <w:rPr>
          <w:rFonts w:cs="Arial"/>
          <w:sz w:val="22"/>
          <w:lang w:eastAsia="en-US"/>
        </w:rPr>
        <w:t>2</w:t>
      </w:r>
      <w:r w:rsidRPr="0027255F">
        <w:rPr>
          <w:rFonts w:cs="Arial"/>
          <w:sz w:val="22"/>
          <w:lang w:eastAsia="en-US"/>
        </w:rPr>
        <w:t>% pay award made from September 202</w:t>
      </w:r>
      <w:r w:rsidR="009B4BE3">
        <w:rPr>
          <w:rFonts w:cs="Arial"/>
          <w:sz w:val="22"/>
          <w:lang w:eastAsia="en-US"/>
        </w:rPr>
        <w:t>5</w:t>
      </w:r>
      <w:r>
        <w:rPr>
          <w:rFonts w:cs="Arial"/>
          <w:sz w:val="22"/>
          <w:lang w:eastAsia="en-US"/>
        </w:rPr>
        <w:t xml:space="preserve"> is reflected in the MTFS.</w:t>
      </w:r>
    </w:p>
    <w:p w14:paraId="30266E90" w14:textId="0AEC5901" w:rsidR="00E00C79" w:rsidRPr="00E00C79" w:rsidRDefault="00E00C79" w:rsidP="00B46295">
      <w:pPr>
        <w:spacing w:after="120"/>
        <w:ind w:left="1134"/>
        <w:rPr>
          <w:bCs/>
          <w:sz w:val="22"/>
        </w:rPr>
      </w:pPr>
      <w:r w:rsidRPr="00E00C79">
        <w:rPr>
          <w:bCs/>
          <w:sz w:val="22"/>
        </w:rPr>
        <w:t xml:space="preserve">The MTFS assumes pay award increases of </w:t>
      </w:r>
      <w:r w:rsidR="009B4BE3">
        <w:rPr>
          <w:bCs/>
          <w:sz w:val="22"/>
        </w:rPr>
        <w:t>3.0</w:t>
      </w:r>
      <w:r w:rsidRPr="00E00C79">
        <w:rPr>
          <w:bCs/>
          <w:sz w:val="22"/>
        </w:rPr>
        <w:t>% in 202</w:t>
      </w:r>
      <w:r w:rsidR="00E766F3">
        <w:rPr>
          <w:bCs/>
          <w:sz w:val="22"/>
        </w:rPr>
        <w:t>6</w:t>
      </w:r>
      <w:r w:rsidR="009B4BE3">
        <w:rPr>
          <w:bCs/>
          <w:sz w:val="22"/>
        </w:rPr>
        <w:t>/27</w:t>
      </w:r>
      <w:r w:rsidRPr="00E00C79">
        <w:rPr>
          <w:bCs/>
          <w:sz w:val="22"/>
        </w:rPr>
        <w:t xml:space="preserve"> and </w:t>
      </w:r>
      <w:r w:rsidR="00F749E4">
        <w:rPr>
          <w:bCs/>
          <w:sz w:val="22"/>
        </w:rPr>
        <w:t>2</w:t>
      </w:r>
      <w:r w:rsidR="009B4BE3">
        <w:rPr>
          <w:bCs/>
          <w:sz w:val="22"/>
        </w:rPr>
        <w:t>.5</w:t>
      </w:r>
      <w:r w:rsidR="00F749E4">
        <w:rPr>
          <w:bCs/>
          <w:sz w:val="22"/>
        </w:rPr>
        <w:t>% in subsequent</w:t>
      </w:r>
      <w:r w:rsidRPr="00E00C79">
        <w:rPr>
          <w:bCs/>
          <w:sz w:val="22"/>
        </w:rPr>
        <w:t xml:space="preserve"> years. A 1% change in pay reflects approximately £3</w:t>
      </w:r>
      <w:r w:rsidR="009B4BE3">
        <w:rPr>
          <w:bCs/>
          <w:sz w:val="22"/>
        </w:rPr>
        <w:t>.4</w:t>
      </w:r>
      <w:r w:rsidRPr="00E00C79">
        <w:rPr>
          <w:bCs/>
          <w:sz w:val="22"/>
        </w:rPr>
        <w:t>m of cost.</w:t>
      </w:r>
    </w:p>
    <w:p w14:paraId="4D6C57A4" w14:textId="77777777" w:rsidR="00E00C79" w:rsidRPr="00E00C79" w:rsidRDefault="00E00C79" w:rsidP="00B46295">
      <w:pPr>
        <w:pStyle w:val="ListParagraph"/>
        <w:numPr>
          <w:ilvl w:val="2"/>
          <w:numId w:val="3"/>
        </w:numPr>
        <w:spacing w:after="120"/>
        <w:contextualSpacing w:val="0"/>
        <w:rPr>
          <w:szCs w:val="22"/>
        </w:rPr>
      </w:pPr>
      <w:r w:rsidRPr="00E00C79">
        <w:rPr>
          <w:szCs w:val="22"/>
        </w:rPr>
        <w:t>Inflation</w:t>
      </w:r>
    </w:p>
    <w:p w14:paraId="1E3F2169" w14:textId="492CF328" w:rsidR="00F87B0D" w:rsidRPr="00F87B0D" w:rsidRDefault="00F87B0D" w:rsidP="00B46295">
      <w:pPr>
        <w:spacing w:after="120"/>
        <w:ind w:left="1134"/>
        <w:rPr>
          <w:bCs/>
          <w:sz w:val="22"/>
        </w:rPr>
      </w:pPr>
      <w:r w:rsidRPr="00F87B0D">
        <w:rPr>
          <w:bCs/>
          <w:sz w:val="22"/>
        </w:rPr>
        <w:t>This reflects where inflation is applied to non-pay spending producing an increase in cost, this includes:</w:t>
      </w:r>
    </w:p>
    <w:p w14:paraId="76F17E4D" w14:textId="5E97F369" w:rsidR="00F87B0D" w:rsidRPr="00F87B0D" w:rsidRDefault="009B4BE3" w:rsidP="00B46295">
      <w:pPr>
        <w:pStyle w:val="ListParagraph"/>
        <w:numPr>
          <w:ilvl w:val="0"/>
          <w:numId w:val="22"/>
        </w:numPr>
        <w:spacing w:after="120"/>
        <w:contextualSpacing w:val="0"/>
        <w:rPr>
          <w:bCs/>
        </w:rPr>
      </w:pPr>
      <w:r>
        <w:rPr>
          <w:bCs/>
        </w:rPr>
        <w:t>Cost of energy</w:t>
      </w:r>
    </w:p>
    <w:p w14:paraId="298742EA" w14:textId="7619622D" w:rsidR="00F87B0D" w:rsidRPr="00F87B0D" w:rsidRDefault="00F87B0D" w:rsidP="00B46295">
      <w:pPr>
        <w:pStyle w:val="ListParagraph"/>
        <w:numPr>
          <w:ilvl w:val="0"/>
          <w:numId w:val="22"/>
        </w:numPr>
        <w:spacing w:after="120"/>
        <w:contextualSpacing w:val="0"/>
        <w:rPr>
          <w:bCs/>
        </w:rPr>
      </w:pPr>
      <w:r w:rsidRPr="00F87B0D">
        <w:rPr>
          <w:bCs/>
        </w:rPr>
        <w:t>Cost of forensic services</w:t>
      </w:r>
    </w:p>
    <w:p w14:paraId="451ED70F" w14:textId="75FA9D42" w:rsidR="00F87B0D" w:rsidRPr="00F87B0D" w:rsidRDefault="00F87B0D" w:rsidP="00B46295">
      <w:pPr>
        <w:pStyle w:val="ListParagraph"/>
        <w:numPr>
          <w:ilvl w:val="0"/>
          <w:numId w:val="22"/>
        </w:numPr>
        <w:spacing w:after="120"/>
        <w:contextualSpacing w:val="0"/>
        <w:rPr>
          <w:bCs/>
        </w:rPr>
      </w:pPr>
      <w:r w:rsidRPr="00F87B0D">
        <w:rPr>
          <w:bCs/>
        </w:rPr>
        <w:t>Charge for the National Police Air Service for air support</w:t>
      </w:r>
    </w:p>
    <w:p w14:paraId="4B2D424D" w14:textId="21ABBDBD" w:rsidR="00F87B0D" w:rsidRPr="00F87B0D" w:rsidRDefault="00F87B0D" w:rsidP="00B46295">
      <w:pPr>
        <w:pStyle w:val="ListParagraph"/>
        <w:numPr>
          <w:ilvl w:val="0"/>
          <w:numId w:val="22"/>
        </w:numPr>
        <w:spacing w:after="120"/>
        <w:contextualSpacing w:val="0"/>
        <w:rPr>
          <w:bCs/>
        </w:rPr>
      </w:pPr>
      <w:r w:rsidRPr="00F87B0D">
        <w:rPr>
          <w:bCs/>
        </w:rPr>
        <w:t>Impact of the Real Living Wage and the National Minimum Wage on contractual payments</w:t>
      </w:r>
    </w:p>
    <w:p w14:paraId="773CA406" w14:textId="527C06FE" w:rsidR="00F87B0D" w:rsidRDefault="00F87B0D" w:rsidP="00B46295">
      <w:pPr>
        <w:pStyle w:val="ListParagraph"/>
        <w:numPr>
          <w:ilvl w:val="0"/>
          <w:numId w:val="22"/>
        </w:numPr>
        <w:spacing w:after="120"/>
        <w:contextualSpacing w:val="0"/>
        <w:rPr>
          <w:bCs/>
        </w:rPr>
      </w:pPr>
      <w:r w:rsidRPr="00F87B0D">
        <w:rPr>
          <w:bCs/>
        </w:rPr>
        <w:t>An allowance for the effect of inflation on all other non-staff costs that don’t have a specified contractual increase included</w:t>
      </w:r>
    </w:p>
    <w:p w14:paraId="7E79DD48" w14:textId="2B9D8A46" w:rsidR="00E766F3" w:rsidRDefault="00E766F3" w:rsidP="00B46295">
      <w:pPr>
        <w:spacing w:after="120"/>
        <w:ind w:left="1134"/>
        <w:rPr>
          <w:bCs/>
          <w:sz w:val="22"/>
        </w:rPr>
      </w:pPr>
    </w:p>
    <w:p w14:paraId="56536CEF" w14:textId="77777777" w:rsidR="00F87B0D" w:rsidRDefault="00F87B0D" w:rsidP="00B46295">
      <w:pPr>
        <w:pStyle w:val="ListParagraph"/>
        <w:numPr>
          <w:ilvl w:val="2"/>
          <w:numId w:val="3"/>
        </w:numPr>
        <w:spacing w:after="120"/>
        <w:contextualSpacing w:val="0"/>
        <w:rPr>
          <w:szCs w:val="22"/>
        </w:rPr>
      </w:pPr>
      <w:r>
        <w:rPr>
          <w:szCs w:val="22"/>
        </w:rPr>
        <w:t>Additional costs</w:t>
      </w:r>
    </w:p>
    <w:p w14:paraId="7BE929B5" w14:textId="3879A90D" w:rsidR="00F87B0D" w:rsidRPr="00F87B0D" w:rsidRDefault="00F87B0D" w:rsidP="00B46295">
      <w:pPr>
        <w:pStyle w:val="ListParagraph"/>
        <w:spacing w:after="120"/>
        <w:ind w:left="1225"/>
        <w:contextualSpacing w:val="0"/>
        <w:rPr>
          <w:szCs w:val="22"/>
        </w:rPr>
      </w:pPr>
      <w:r w:rsidRPr="00F87B0D">
        <w:rPr>
          <w:szCs w:val="22"/>
        </w:rPr>
        <w:lastRenderedPageBreak/>
        <w:t>This reflects where costs have increased beyond a straightforward pressure from inflation or a cost arises for a new service, this includes:</w:t>
      </w:r>
    </w:p>
    <w:p w14:paraId="65B24449" w14:textId="02F29F1B" w:rsidR="009B4BE3" w:rsidRPr="009B4BE3" w:rsidRDefault="009B4BE3" w:rsidP="00B46295">
      <w:pPr>
        <w:pStyle w:val="ListParagraph"/>
        <w:numPr>
          <w:ilvl w:val="0"/>
          <w:numId w:val="22"/>
        </w:numPr>
        <w:spacing w:after="120"/>
        <w:contextualSpacing w:val="0"/>
        <w:rPr>
          <w:bCs/>
        </w:rPr>
      </w:pPr>
      <w:r w:rsidRPr="009B4BE3">
        <w:rPr>
          <w:bCs/>
        </w:rPr>
        <w:t xml:space="preserve">Impact of the 'sentencing review' generating significant additional </w:t>
      </w:r>
      <w:proofErr w:type="spellStart"/>
      <w:r w:rsidRPr="009B4BE3">
        <w:rPr>
          <w:bCs/>
        </w:rPr>
        <w:t>demnd</w:t>
      </w:r>
      <w:proofErr w:type="spellEnd"/>
      <w:r w:rsidRPr="009B4BE3">
        <w:rPr>
          <w:bCs/>
        </w:rPr>
        <w:t xml:space="preserve"> for police forces</w:t>
      </w:r>
    </w:p>
    <w:p w14:paraId="6ED23E0F" w14:textId="40D926CC" w:rsidR="00F87B0D" w:rsidRPr="009B4BE3" w:rsidRDefault="00F87B0D" w:rsidP="00B46295">
      <w:pPr>
        <w:pStyle w:val="ListParagraph"/>
        <w:numPr>
          <w:ilvl w:val="0"/>
          <w:numId w:val="22"/>
        </w:numPr>
        <w:spacing w:after="120"/>
        <w:contextualSpacing w:val="0"/>
        <w:rPr>
          <w:bCs/>
        </w:rPr>
      </w:pPr>
      <w:r w:rsidRPr="009B4BE3">
        <w:rPr>
          <w:bCs/>
        </w:rPr>
        <w:t>Vehicle insurance costs</w:t>
      </w:r>
    </w:p>
    <w:p w14:paraId="12A3C415" w14:textId="39C6ABD8" w:rsidR="00F87B0D" w:rsidRPr="009B4BE3" w:rsidRDefault="00F87B0D" w:rsidP="00B46295">
      <w:pPr>
        <w:pStyle w:val="ListParagraph"/>
        <w:numPr>
          <w:ilvl w:val="0"/>
          <w:numId w:val="22"/>
        </w:numPr>
        <w:spacing w:after="120"/>
        <w:contextualSpacing w:val="0"/>
        <w:rPr>
          <w:bCs/>
        </w:rPr>
      </w:pPr>
      <w:r w:rsidRPr="009B4BE3">
        <w:rPr>
          <w:bCs/>
        </w:rPr>
        <w:t>General insurance costs</w:t>
      </w:r>
    </w:p>
    <w:p w14:paraId="2FA60C35" w14:textId="59C969D1" w:rsidR="00F87B0D" w:rsidRPr="009B4BE3" w:rsidRDefault="00F87B0D" w:rsidP="00B46295">
      <w:pPr>
        <w:pStyle w:val="ListParagraph"/>
        <w:numPr>
          <w:ilvl w:val="0"/>
          <w:numId w:val="22"/>
        </w:numPr>
        <w:spacing w:after="120"/>
        <w:contextualSpacing w:val="0"/>
        <w:rPr>
          <w:bCs/>
        </w:rPr>
      </w:pPr>
      <w:r w:rsidRPr="009B4BE3">
        <w:rPr>
          <w:bCs/>
        </w:rPr>
        <w:t>The charge made by the Home Office for the delivery of national IT programmes including the replacement systems for the National Police Database and the National Policing investigations system</w:t>
      </w:r>
    </w:p>
    <w:p w14:paraId="6855D2B1" w14:textId="470F6BA0" w:rsidR="00F87B0D" w:rsidRPr="009B4BE3" w:rsidRDefault="00F87B0D" w:rsidP="00B46295">
      <w:pPr>
        <w:pStyle w:val="ListParagraph"/>
        <w:numPr>
          <w:ilvl w:val="0"/>
          <w:numId w:val="22"/>
        </w:numPr>
        <w:spacing w:after="120"/>
        <w:contextualSpacing w:val="0"/>
        <w:rPr>
          <w:bCs/>
        </w:rPr>
      </w:pPr>
      <w:r w:rsidRPr="009B4BE3">
        <w:rPr>
          <w:bCs/>
        </w:rPr>
        <w:t>A reduction in the level of income that can be generated through the provision of courses to external organisations</w:t>
      </w:r>
    </w:p>
    <w:p w14:paraId="3F80C650" w14:textId="4D53147C" w:rsidR="00F87B0D" w:rsidRPr="009B4BE3" w:rsidRDefault="00F87B0D" w:rsidP="00B46295">
      <w:pPr>
        <w:pStyle w:val="ListParagraph"/>
        <w:numPr>
          <w:ilvl w:val="0"/>
          <w:numId w:val="22"/>
        </w:numPr>
        <w:spacing w:after="120"/>
        <w:contextualSpacing w:val="0"/>
        <w:rPr>
          <w:bCs/>
        </w:rPr>
      </w:pPr>
      <w:r w:rsidRPr="009B4BE3">
        <w:rPr>
          <w:bCs/>
        </w:rPr>
        <w:t>Increased cost of Business rates for the Policing estate</w:t>
      </w:r>
    </w:p>
    <w:p w14:paraId="2B006EC1" w14:textId="46069591" w:rsidR="00F87B0D" w:rsidRPr="009B4BE3" w:rsidRDefault="00F87B0D" w:rsidP="00B46295">
      <w:pPr>
        <w:pStyle w:val="ListParagraph"/>
        <w:numPr>
          <w:ilvl w:val="0"/>
          <w:numId w:val="22"/>
        </w:numPr>
        <w:spacing w:after="120"/>
        <w:contextualSpacing w:val="0"/>
        <w:rPr>
          <w:bCs/>
        </w:rPr>
      </w:pPr>
      <w:r w:rsidRPr="009B4BE3">
        <w:rPr>
          <w:bCs/>
        </w:rPr>
        <w:t>Increased contribution to the National Police Chiefs Council for the delivery of work at the national level on behalf of the whole policing sector</w:t>
      </w:r>
    </w:p>
    <w:p w14:paraId="7B40C8F3" w14:textId="77777777" w:rsidR="00F87B0D" w:rsidRDefault="00F87B0D" w:rsidP="00B46295">
      <w:pPr>
        <w:pStyle w:val="ListParagraph"/>
        <w:spacing w:after="120"/>
        <w:ind w:left="1224"/>
        <w:contextualSpacing w:val="0"/>
        <w:rPr>
          <w:szCs w:val="22"/>
        </w:rPr>
      </w:pPr>
    </w:p>
    <w:p w14:paraId="4F3A1C8C" w14:textId="77777777" w:rsidR="00F87B0D" w:rsidRDefault="00F87B0D" w:rsidP="00B46295">
      <w:pPr>
        <w:pStyle w:val="ListParagraph"/>
        <w:numPr>
          <w:ilvl w:val="2"/>
          <w:numId w:val="3"/>
        </w:numPr>
        <w:spacing w:after="120"/>
        <w:ind w:left="1225"/>
        <w:contextualSpacing w:val="0"/>
        <w:rPr>
          <w:szCs w:val="22"/>
        </w:rPr>
      </w:pPr>
      <w:r>
        <w:rPr>
          <w:szCs w:val="22"/>
        </w:rPr>
        <w:t>Investment</w:t>
      </w:r>
    </w:p>
    <w:p w14:paraId="7C2E4979" w14:textId="09D67F1C" w:rsidR="00F87B0D" w:rsidRDefault="00F87B0D" w:rsidP="00B46295">
      <w:pPr>
        <w:pStyle w:val="ListParagraph"/>
        <w:spacing w:after="120"/>
        <w:ind w:left="1225"/>
        <w:contextualSpacing w:val="0"/>
        <w:rPr>
          <w:szCs w:val="22"/>
        </w:rPr>
      </w:pPr>
      <w:r>
        <w:rPr>
          <w:szCs w:val="22"/>
        </w:rPr>
        <w:t xml:space="preserve">This reflects planned investment to enhance the service delivered to </w:t>
      </w:r>
      <w:r w:rsidR="008A48EA">
        <w:rPr>
          <w:szCs w:val="22"/>
        </w:rPr>
        <w:t>t</w:t>
      </w:r>
      <w:r>
        <w:rPr>
          <w:szCs w:val="22"/>
        </w:rPr>
        <w:t>he public</w:t>
      </w:r>
    </w:p>
    <w:p w14:paraId="35D5A0F1" w14:textId="04B40954" w:rsidR="00F87B0D" w:rsidRPr="00F87B0D" w:rsidRDefault="00F87B0D" w:rsidP="00B46295">
      <w:pPr>
        <w:pStyle w:val="ListParagraph"/>
        <w:spacing w:after="120"/>
        <w:ind w:left="1225"/>
        <w:contextualSpacing w:val="0"/>
        <w:rPr>
          <w:szCs w:val="22"/>
        </w:rPr>
      </w:pPr>
      <w:r w:rsidRPr="00F87B0D">
        <w:rPr>
          <w:szCs w:val="22"/>
        </w:rPr>
        <w:t>Investment in Neighbourhood Policing Teams</w:t>
      </w:r>
    </w:p>
    <w:p w14:paraId="787EA30A" w14:textId="7116C7DB" w:rsidR="009B4BE3" w:rsidRPr="009B4BE3" w:rsidRDefault="009B4BE3" w:rsidP="00B46295">
      <w:pPr>
        <w:pStyle w:val="ListParagraph"/>
        <w:numPr>
          <w:ilvl w:val="0"/>
          <w:numId w:val="22"/>
        </w:numPr>
        <w:spacing w:after="120"/>
        <w:contextualSpacing w:val="0"/>
        <w:rPr>
          <w:bCs/>
        </w:rPr>
      </w:pPr>
      <w:r w:rsidRPr="009B4BE3">
        <w:rPr>
          <w:bCs/>
        </w:rPr>
        <w:t xml:space="preserve">86 additional police officers and PCSOs have been put into neighbourhood policing </w:t>
      </w:r>
      <w:r w:rsidR="00567CFF" w:rsidRPr="009B4BE3">
        <w:rPr>
          <w:bCs/>
        </w:rPr>
        <w:t>functions</w:t>
      </w:r>
      <w:r w:rsidRPr="009B4BE3">
        <w:rPr>
          <w:bCs/>
        </w:rPr>
        <w:t xml:space="preserve"> in 2025/26</w:t>
      </w:r>
    </w:p>
    <w:p w14:paraId="042319E1" w14:textId="6CA37460" w:rsidR="009B4BE3" w:rsidRDefault="009B4BE3" w:rsidP="00B46295">
      <w:pPr>
        <w:pStyle w:val="ListParagraph"/>
        <w:numPr>
          <w:ilvl w:val="0"/>
          <w:numId w:val="22"/>
        </w:numPr>
        <w:spacing w:after="120"/>
        <w:contextualSpacing w:val="0"/>
        <w:rPr>
          <w:bCs/>
        </w:rPr>
      </w:pPr>
      <w:r>
        <w:rPr>
          <w:bCs/>
        </w:rPr>
        <w:t xml:space="preserve">A </w:t>
      </w:r>
      <w:r w:rsidR="00567CFF">
        <w:rPr>
          <w:bCs/>
        </w:rPr>
        <w:t>further</w:t>
      </w:r>
      <w:r>
        <w:rPr>
          <w:bCs/>
        </w:rPr>
        <w:t xml:space="preserve"> 45 officers and PCSOs will go int</w:t>
      </w:r>
      <w:r w:rsidR="00567CFF">
        <w:rPr>
          <w:bCs/>
        </w:rPr>
        <w:t>o</w:t>
      </w:r>
      <w:r>
        <w:rPr>
          <w:bCs/>
        </w:rPr>
        <w:t xml:space="preserve"> neighbourhood policing in 2026/27 in line with the 'Neighbourhood Policing Guarantee'.</w:t>
      </w:r>
    </w:p>
    <w:p w14:paraId="50F690FC" w14:textId="0366072F" w:rsidR="00E00C79" w:rsidRPr="00E00C79" w:rsidRDefault="00E00C79" w:rsidP="00B03D05">
      <w:pPr>
        <w:pStyle w:val="ListParagraph"/>
        <w:numPr>
          <w:ilvl w:val="2"/>
          <w:numId w:val="3"/>
        </w:numPr>
        <w:spacing w:after="120"/>
        <w:contextualSpacing w:val="0"/>
        <w:rPr>
          <w:szCs w:val="22"/>
        </w:rPr>
      </w:pPr>
      <w:r w:rsidRPr="00E00C79">
        <w:rPr>
          <w:szCs w:val="22"/>
        </w:rPr>
        <w:t>Capital financing costs</w:t>
      </w:r>
    </w:p>
    <w:p w14:paraId="1E24F6FB" w14:textId="77777777" w:rsidR="00E00C79" w:rsidRPr="00E00C79" w:rsidRDefault="00E00C79" w:rsidP="009B6C52">
      <w:pPr>
        <w:spacing w:after="120"/>
        <w:ind w:left="1134"/>
        <w:rPr>
          <w:bCs/>
          <w:sz w:val="22"/>
        </w:rPr>
      </w:pPr>
      <w:r w:rsidRPr="00E00C79">
        <w:rPr>
          <w:bCs/>
          <w:sz w:val="22"/>
        </w:rPr>
        <w:t xml:space="preserve">The costs associated with borrowing are forecast to increase oner the MTFS period </w:t>
      </w:r>
      <w:proofErr w:type="gramStart"/>
      <w:r w:rsidRPr="00E00C79">
        <w:rPr>
          <w:bCs/>
          <w:sz w:val="22"/>
        </w:rPr>
        <w:t>as a result of</w:t>
      </w:r>
      <w:proofErr w:type="gramEnd"/>
      <w:r w:rsidRPr="00E00C79">
        <w:rPr>
          <w:bCs/>
          <w:sz w:val="22"/>
        </w:rPr>
        <w:t xml:space="preserve"> the expected level of investment in the capital programme. The forecast cost is based upon the amount in the programme for which borrowing is expected to be undertaken and the expected interest rates for the period.</w:t>
      </w:r>
    </w:p>
    <w:p w14:paraId="391C507D" w14:textId="77777777" w:rsidR="00E00C79" w:rsidRPr="00E00C79" w:rsidRDefault="00E00C79" w:rsidP="00B03D05">
      <w:pPr>
        <w:pStyle w:val="ListParagraph"/>
        <w:numPr>
          <w:ilvl w:val="2"/>
          <w:numId w:val="3"/>
        </w:numPr>
        <w:spacing w:after="120"/>
        <w:contextualSpacing w:val="0"/>
        <w:rPr>
          <w:szCs w:val="22"/>
        </w:rPr>
      </w:pPr>
      <w:r w:rsidRPr="00E00C79">
        <w:rPr>
          <w:szCs w:val="22"/>
        </w:rPr>
        <w:t>Forecast expenditure</w:t>
      </w:r>
    </w:p>
    <w:p w14:paraId="0E48A0C2" w14:textId="77777777" w:rsidR="00E00C79" w:rsidRPr="00E00C79" w:rsidRDefault="00E00C79" w:rsidP="009B6C52">
      <w:pPr>
        <w:spacing w:after="120"/>
        <w:ind w:left="1134"/>
        <w:rPr>
          <w:bCs/>
          <w:sz w:val="22"/>
        </w:rPr>
      </w:pPr>
      <w:r w:rsidRPr="00E00C79">
        <w:rPr>
          <w:bCs/>
          <w:sz w:val="22"/>
        </w:rPr>
        <w:t>Reflecting the assumptions above the MTFS includes the following forecast cost pressures:</w:t>
      </w:r>
    </w:p>
    <w:tbl>
      <w:tblPr>
        <w:tblW w:w="7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1"/>
        <w:gridCol w:w="1117"/>
        <w:gridCol w:w="1117"/>
      </w:tblGrid>
      <w:tr w:rsidR="00567CFF" w:rsidRPr="009B6C52" w14:paraId="098042DF" w14:textId="08FEC05F" w:rsidTr="00567CFF">
        <w:trPr>
          <w:trHeight w:val="283"/>
          <w:jc w:val="center"/>
        </w:trPr>
        <w:tc>
          <w:tcPr>
            <w:tcW w:w="4536" w:type="dxa"/>
            <w:noWrap/>
            <w:hideMark/>
          </w:tcPr>
          <w:p w14:paraId="134BE1AF" w14:textId="77777777" w:rsidR="00567CFF" w:rsidRPr="00E00C79" w:rsidRDefault="00567CFF" w:rsidP="00C81BFE">
            <w:pPr>
              <w:jc w:val="center"/>
              <w:rPr>
                <w:b/>
                <w:bCs/>
                <w:sz w:val="22"/>
                <w:u w:val="single"/>
              </w:rPr>
            </w:pPr>
          </w:p>
        </w:tc>
        <w:tc>
          <w:tcPr>
            <w:tcW w:w="1131" w:type="dxa"/>
            <w:noWrap/>
            <w:hideMark/>
          </w:tcPr>
          <w:p w14:paraId="4C8FA9AF" w14:textId="35FF6DDD" w:rsidR="00567CFF" w:rsidRPr="00E00C79" w:rsidRDefault="00567CFF" w:rsidP="00C81BFE">
            <w:pPr>
              <w:jc w:val="center"/>
              <w:rPr>
                <w:b/>
                <w:bCs/>
                <w:sz w:val="22"/>
              </w:rPr>
            </w:pPr>
            <w:r>
              <w:rPr>
                <w:b/>
                <w:bCs/>
                <w:sz w:val="22"/>
              </w:rPr>
              <w:t>2026/27</w:t>
            </w:r>
          </w:p>
        </w:tc>
        <w:tc>
          <w:tcPr>
            <w:tcW w:w="1117" w:type="dxa"/>
            <w:noWrap/>
            <w:hideMark/>
          </w:tcPr>
          <w:p w14:paraId="3E6D7DCF" w14:textId="1C50E1F6" w:rsidR="00567CFF" w:rsidRPr="00E00C79" w:rsidRDefault="00567CFF" w:rsidP="00C81BFE">
            <w:pPr>
              <w:jc w:val="center"/>
              <w:rPr>
                <w:b/>
                <w:bCs/>
                <w:sz w:val="22"/>
              </w:rPr>
            </w:pPr>
            <w:r>
              <w:rPr>
                <w:b/>
                <w:bCs/>
                <w:sz w:val="22"/>
              </w:rPr>
              <w:t>2027/28</w:t>
            </w:r>
          </w:p>
        </w:tc>
        <w:tc>
          <w:tcPr>
            <w:tcW w:w="1117" w:type="dxa"/>
          </w:tcPr>
          <w:p w14:paraId="3026BD2D" w14:textId="20F9752D" w:rsidR="00567CFF" w:rsidRPr="009B6C52" w:rsidRDefault="00567CFF" w:rsidP="00C81BFE">
            <w:pPr>
              <w:jc w:val="center"/>
              <w:rPr>
                <w:b/>
                <w:bCs/>
                <w:sz w:val="22"/>
              </w:rPr>
            </w:pPr>
            <w:r>
              <w:rPr>
                <w:b/>
                <w:bCs/>
                <w:sz w:val="22"/>
              </w:rPr>
              <w:t>2028/29</w:t>
            </w:r>
          </w:p>
        </w:tc>
      </w:tr>
      <w:tr w:rsidR="00567CFF" w:rsidRPr="009B6C52" w14:paraId="5B41F5B7" w14:textId="593437D2" w:rsidTr="00567CFF">
        <w:trPr>
          <w:trHeight w:val="227"/>
          <w:jc w:val="center"/>
        </w:trPr>
        <w:tc>
          <w:tcPr>
            <w:tcW w:w="4536" w:type="dxa"/>
            <w:noWrap/>
            <w:vAlign w:val="bottom"/>
            <w:hideMark/>
          </w:tcPr>
          <w:p w14:paraId="1892223B" w14:textId="77777777" w:rsidR="00567CFF" w:rsidRPr="00E00C79" w:rsidRDefault="00567CFF" w:rsidP="009B6C52">
            <w:pPr>
              <w:rPr>
                <w:b/>
                <w:bCs/>
                <w:sz w:val="22"/>
              </w:rPr>
            </w:pPr>
          </w:p>
        </w:tc>
        <w:tc>
          <w:tcPr>
            <w:tcW w:w="1131" w:type="dxa"/>
            <w:noWrap/>
            <w:hideMark/>
          </w:tcPr>
          <w:p w14:paraId="32A2D5CE" w14:textId="6848D489" w:rsidR="00567CFF" w:rsidRPr="00E00C79" w:rsidRDefault="00567CFF" w:rsidP="009B6C52">
            <w:pPr>
              <w:jc w:val="center"/>
              <w:rPr>
                <w:b/>
                <w:bCs/>
                <w:sz w:val="22"/>
              </w:rPr>
            </w:pPr>
            <w:r w:rsidRPr="00E00C79">
              <w:rPr>
                <w:b/>
                <w:bCs/>
                <w:sz w:val="22"/>
              </w:rPr>
              <w:t>£m</w:t>
            </w:r>
          </w:p>
        </w:tc>
        <w:tc>
          <w:tcPr>
            <w:tcW w:w="1117" w:type="dxa"/>
            <w:noWrap/>
            <w:hideMark/>
          </w:tcPr>
          <w:p w14:paraId="2BF11867" w14:textId="3D375984" w:rsidR="00567CFF" w:rsidRPr="00E00C79" w:rsidRDefault="00567CFF" w:rsidP="009B6C52">
            <w:pPr>
              <w:jc w:val="center"/>
              <w:rPr>
                <w:b/>
                <w:bCs/>
                <w:sz w:val="22"/>
              </w:rPr>
            </w:pPr>
            <w:r w:rsidRPr="00E00C79">
              <w:rPr>
                <w:b/>
                <w:bCs/>
                <w:sz w:val="22"/>
              </w:rPr>
              <w:t>£m</w:t>
            </w:r>
          </w:p>
        </w:tc>
        <w:tc>
          <w:tcPr>
            <w:tcW w:w="1117" w:type="dxa"/>
          </w:tcPr>
          <w:p w14:paraId="434E5046" w14:textId="44432900" w:rsidR="00567CFF" w:rsidRPr="009B6C52" w:rsidRDefault="00567CFF" w:rsidP="009B6C52">
            <w:pPr>
              <w:jc w:val="center"/>
              <w:rPr>
                <w:b/>
                <w:bCs/>
                <w:sz w:val="22"/>
              </w:rPr>
            </w:pPr>
            <w:r w:rsidRPr="00E00C79">
              <w:rPr>
                <w:b/>
                <w:bCs/>
                <w:sz w:val="22"/>
              </w:rPr>
              <w:t>£m</w:t>
            </w:r>
          </w:p>
        </w:tc>
      </w:tr>
      <w:tr w:rsidR="00567CFF" w:rsidRPr="009B6C52" w14:paraId="26C0BDBF" w14:textId="7BAEADC2" w:rsidTr="00567CFF">
        <w:trPr>
          <w:trHeight w:val="300"/>
          <w:jc w:val="center"/>
        </w:trPr>
        <w:tc>
          <w:tcPr>
            <w:tcW w:w="4536" w:type="dxa"/>
            <w:noWrap/>
            <w:vAlign w:val="center"/>
          </w:tcPr>
          <w:p w14:paraId="6B192FE7" w14:textId="77777777" w:rsidR="00567CFF" w:rsidRPr="00E00C79" w:rsidRDefault="00567CFF" w:rsidP="009B6C52">
            <w:pPr>
              <w:rPr>
                <w:sz w:val="22"/>
              </w:rPr>
            </w:pPr>
            <w:r w:rsidRPr="00E00C79">
              <w:rPr>
                <w:sz w:val="22"/>
              </w:rPr>
              <w:t>Pay related costs</w:t>
            </w:r>
          </w:p>
        </w:tc>
        <w:tc>
          <w:tcPr>
            <w:tcW w:w="1131" w:type="dxa"/>
            <w:noWrap/>
            <w:vAlign w:val="center"/>
          </w:tcPr>
          <w:p w14:paraId="49AD0237" w14:textId="33FF7A61" w:rsidR="00567CFF" w:rsidRPr="00E00C79" w:rsidRDefault="00567CFF" w:rsidP="009B6C52">
            <w:pPr>
              <w:jc w:val="right"/>
              <w:rPr>
                <w:sz w:val="22"/>
              </w:rPr>
            </w:pPr>
            <w:r>
              <w:rPr>
                <w:sz w:val="22"/>
              </w:rPr>
              <w:t>17.976</w:t>
            </w:r>
          </w:p>
        </w:tc>
        <w:tc>
          <w:tcPr>
            <w:tcW w:w="1117" w:type="dxa"/>
            <w:noWrap/>
            <w:vAlign w:val="center"/>
          </w:tcPr>
          <w:p w14:paraId="0D3AE06F" w14:textId="2F473E40" w:rsidR="00567CFF" w:rsidRPr="00E00C79" w:rsidRDefault="00567CFF" w:rsidP="009B6C52">
            <w:pPr>
              <w:jc w:val="right"/>
              <w:rPr>
                <w:sz w:val="22"/>
              </w:rPr>
            </w:pPr>
            <w:r>
              <w:rPr>
                <w:sz w:val="22"/>
              </w:rPr>
              <w:t>10.368</w:t>
            </w:r>
          </w:p>
        </w:tc>
        <w:tc>
          <w:tcPr>
            <w:tcW w:w="1117" w:type="dxa"/>
            <w:vAlign w:val="center"/>
          </w:tcPr>
          <w:p w14:paraId="774CE322" w14:textId="0AED8C7F" w:rsidR="00567CFF" w:rsidRPr="009B6C52" w:rsidRDefault="00567CFF" w:rsidP="00C81BFE">
            <w:pPr>
              <w:jc w:val="right"/>
              <w:rPr>
                <w:sz w:val="22"/>
              </w:rPr>
            </w:pPr>
            <w:r>
              <w:rPr>
                <w:sz w:val="22"/>
              </w:rPr>
              <w:t>10.045</w:t>
            </w:r>
          </w:p>
        </w:tc>
      </w:tr>
      <w:tr w:rsidR="00567CFF" w:rsidRPr="009B6C52" w14:paraId="075B16B8" w14:textId="6B7A3694" w:rsidTr="00567CFF">
        <w:trPr>
          <w:trHeight w:val="300"/>
          <w:jc w:val="center"/>
        </w:trPr>
        <w:tc>
          <w:tcPr>
            <w:tcW w:w="4536" w:type="dxa"/>
            <w:noWrap/>
            <w:vAlign w:val="center"/>
          </w:tcPr>
          <w:p w14:paraId="6D0DEFB3" w14:textId="77777777" w:rsidR="00567CFF" w:rsidRPr="00E00C79" w:rsidRDefault="00567CFF" w:rsidP="009B6C52">
            <w:pPr>
              <w:rPr>
                <w:sz w:val="22"/>
              </w:rPr>
            </w:pPr>
            <w:r w:rsidRPr="00E00C79">
              <w:rPr>
                <w:sz w:val="22"/>
              </w:rPr>
              <w:t>Non-pay inflation</w:t>
            </w:r>
          </w:p>
        </w:tc>
        <w:tc>
          <w:tcPr>
            <w:tcW w:w="1131" w:type="dxa"/>
            <w:noWrap/>
            <w:vAlign w:val="center"/>
          </w:tcPr>
          <w:p w14:paraId="180D079B" w14:textId="16A9C0B3" w:rsidR="00567CFF" w:rsidRPr="00E00C79" w:rsidRDefault="00567CFF" w:rsidP="009B6C52">
            <w:pPr>
              <w:jc w:val="right"/>
              <w:rPr>
                <w:sz w:val="22"/>
              </w:rPr>
            </w:pPr>
            <w:r>
              <w:rPr>
                <w:sz w:val="22"/>
              </w:rPr>
              <w:t>1.275</w:t>
            </w:r>
          </w:p>
        </w:tc>
        <w:tc>
          <w:tcPr>
            <w:tcW w:w="1117" w:type="dxa"/>
            <w:noWrap/>
            <w:vAlign w:val="center"/>
          </w:tcPr>
          <w:p w14:paraId="46E98333" w14:textId="1BBC01D3" w:rsidR="00567CFF" w:rsidRPr="00E00C79" w:rsidRDefault="00567CFF" w:rsidP="009B6C52">
            <w:pPr>
              <w:jc w:val="right"/>
              <w:rPr>
                <w:sz w:val="22"/>
              </w:rPr>
            </w:pPr>
            <w:r>
              <w:rPr>
                <w:sz w:val="22"/>
              </w:rPr>
              <w:t>0.886</w:t>
            </w:r>
          </w:p>
        </w:tc>
        <w:tc>
          <w:tcPr>
            <w:tcW w:w="1117" w:type="dxa"/>
            <w:vAlign w:val="center"/>
          </w:tcPr>
          <w:p w14:paraId="4A8CC4ED" w14:textId="1A84C030" w:rsidR="00567CFF" w:rsidRPr="009B6C52" w:rsidRDefault="00567CFF" w:rsidP="00C81BFE">
            <w:pPr>
              <w:jc w:val="right"/>
              <w:rPr>
                <w:sz w:val="22"/>
              </w:rPr>
            </w:pPr>
            <w:r>
              <w:rPr>
                <w:sz w:val="22"/>
              </w:rPr>
              <w:t>0.877</w:t>
            </w:r>
          </w:p>
        </w:tc>
      </w:tr>
      <w:tr w:rsidR="00567CFF" w:rsidRPr="009B6C52" w14:paraId="7CE7A616" w14:textId="77777777" w:rsidTr="00567CFF">
        <w:trPr>
          <w:trHeight w:val="300"/>
          <w:jc w:val="center"/>
        </w:trPr>
        <w:tc>
          <w:tcPr>
            <w:tcW w:w="4536" w:type="dxa"/>
            <w:noWrap/>
            <w:vAlign w:val="center"/>
          </w:tcPr>
          <w:p w14:paraId="41D31380" w14:textId="2E9A770B" w:rsidR="00567CFF" w:rsidRDefault="00567CFF" w:rsidP="009B6C52">
            <w:pPr>
              <w:rPr>
                <w:sz w:val="22"/>
              </w:rPr>
            </w:pPr>
            <w:r>
              <w:rPr>
                <w:sz w:val="22"/>
              </w:rPr>
              <w:t>Additional costs</w:t>
            </w:r>
          </w:p>
        </w:tc>
        <w:tc>
          <w:tcPr>
            <w:tcW w:w="1131" w:type="dxa"/>
            <w:noWrap/>
            <w:vAlign w:val="center"/>
          </w:tcPr>
          <w:p w14:paraId="693D3C4C" w14:textId="20573208" w:rsidR="00567CFF" w:rsidRDefault="00E122E7" w:rsidP="009B6C52">
            <w:pPr>
              <w:jc w:val="right"/>
              <w:rPr>
                <w:sz w:val="22"/>
              </w:rPr>
            </w:pPr>
            <w:r>
              <w:rPr>
                <w:sz w:val="22"/>
              </w:rPr>
              <w:t>5.298</w:t>
            </w:r>
          </w:p>
        </w:tc>
        <w:tc>
          <w:tcPr>
            <w:tcW w:w="1117" w:type="dxa"/>
            <w:noWrap/>
            <w:vAlign w:val="center"/>
          </w:tcPr>
          <w:p w14:paraId="6D3F31FB" w14:textId="1085F4B3" w:rsidR="00567CFF" w:rsidRDefault="00E122E7" w:rsidP="009B6C52">
            <w:pPr>
              <w:jc w:val="right"/>
              <w:rPr>
                <w:sz w:val="22"/>
              </w:rPr>
            </w:pPr>
            <w:r>
              <w:rPr>
                <w:sz w:val="22"/>
              </w:rPr>
              <w:t>5.400</w:t>
            </w:r>
          </w:p>
        </w:tc>
        <w:tc>
          <w:tcPr>
            <w:tcW w:w="1117" w:type="dxa"/>
            <w:vAlign w:val="center"/>
          </w:tcPr>
          <w:p w14:paraId="2C6D6C7C" w14:textId="769D8BFB" w:rsidR="00567CFF" w:rsidRDefault="00E122E7" w:rsidP="00C81BFE">
            <w:pPr>
              <w:jc w:val="right"/>
              <w:rPr>
                <w:sz w:val="22"/>
              </w:rPr>
            </w:pPr>
            <w:r>
              <w:rPr>
                <w:sz w:val="22"/>
              </w:rPr>
              <w:t>4.527</w:t>
            </w:r>
          </w:p>
        </w:tc>
      </w:tr>
      <w:tr w:rsidR="00567CFF" w:rsidRPr="009B6C52" w14:paraId="01CBB87C" w14:textId="77777777" w:rsidTr="00567CFF">
        <w:trPr>
          <w:trHeight w:val="300"/>
          <w:jc w:val="center"/>
        </w:trPr>
        <w:tc>
          <w:tcPr>
            <w:tcW w:w="4536" w:type="dxa"/>
            <w:noWrap/>
            <w:vAlign w:val="center"/>
          </w:tcPr>
          <w:p w14:paraId="4B334EC6" w14:textId="2EEA2AC2" w:rsidR="00567CFF" w:rsidRPr="00E00C79" w:rsidRDefault="00567CFF" w:rsidP="009B6C52">
            <w:pPr>
              <w:rPr>
                <w:sz w:val="22"/>
              </w:rPr>
            </w:pPr>
            <w:r>
              <w:rPr>
                <w:sz w:val="22"/>
              </w:rPr>
              <w:t>Capital financing costs</w:t>
            </w:r>
          </w:p>
        </w:tc>
        <w:tc>
          <w:tcPr>
            <w:tcW w:w="1131" w:type="dxa"/>
            <w:noWrap/>
            <w:vAlign w:val="center"/>
          </w:tcPr>
          <w:p w14:paraId="674FE534" w14:textId="163D4237" w:rsidR="00567CFF" w:rsidRDefault="00E122E7" w:rsidP="009B6C52">
            <w:pPr>
              <w:jc w:val="right"/>
              <w:rPr>
                <w:sz w:val="22"/>
              </w:rPr>
            </w:pPr>
            <w:r>
              <w:rPr>
                <w:sz w:val="22"/>
              </w:rPr>
              <w:t>2.965</w:t>
            </w:r>
          </w:p>
        </w:tc>
        <w:tc>
          <w:tcPr>
            <w:tcW w:w="1117" w:type="dxa"/>
            <w:noWrap/>
            <w:vAlign w:val="center"/>
          </w:tcPr>
          <w:p w14:paraId="7F18DAAC" w14:textId="33FF20D0" w:rsidR="00567CFF" w:rsidRPr="00E00C79" w:rsidRDefault="00E122E7" w:rsidP="009B6C52">
            <w:pPr>
              <w:jc w:val="right"/>
              <w:rPr>
                <w:sz w:val="22"/>
              </w:rPr>
            </w:pPr>
            <w:r>
              <w:rPr>
                <w:sz w:val="22"/>
              </w:rPr>
              <w:t>3.250</w:t>
            </w:r>
          </w:p>
        </w:tc>
        <w:tc>
          <w:tcPr>
            <w:tcW w:w="1117" w:type="dxa"/>
            <w:vAlign w:val="center"/>
          </w:tcPr>
          <w:p w14:paraId="7789F011" w14:textId="226C8803" w:rsidR="00567CFF" w:rsidRDefault="00E122E7" w:rsidP="00C81BFE">
            <w:pPr>
              <w:jc w:val="right"/>
              <w:rPr>
                <w:sz w:val="22"/>
              </w:rPr>
            </w:pPr>
            <w:r>
              <w:rPr>
                <w:sz w:val="22"/>
              </w:rPr>
              <w:t>3.935</w:t>
            </w:r>
          </w:p>
        </w:tc>
      </w:tr>
      <w:tr w:rsidR="00567CFF" w:rsidRPr="009B6C52" w14:paraId="79B38A80" w14:textId="3FEFEE46" w:rsidTr="00567CFF">
        <w:trPr>
          <w:trHeight w:val="491"/>
          <w:jc w:val="center"/>
        </w:trPr>
        <w:tc>
          <w:tcPr>
            <w:tcW w:w="4536" w:type="dxa"/>
            <w:shd w:val="clear" w:color="auto" w:fill="B4C6E7" w:themeFill="accent5" w:themeFillTint="66"/>
            <w:noWrap/>
            <w:vAlign w:val="center"/>
          </w:tcPr>
          <w:p w14:paraId="0E600135" w14:textId="77777777" w:rsidR="00567CFF" w:rsidRPr="00E00C79" w:rsidRDefault="00567CFF" w:rsidP="009B6C52">
            <w:pPr>
              <w:rPr>
                <w:b/>
                <w:bCs/>
                <w:sz w:val="22"/>
              </w:rPr>
            </w:pPr>
            <w:r w:rsidRPr="00E00C79">
              <w:rPr>
                <w:b/>
                <w:bCs/>
                <w:sz w:val="22"/>
              </w:rPr>
              <w:t>Cost pressures</w:t>
            </w:r>
          </w:p>
        </w:tc>
        <w:tc>
          <w:tcPr>
            <w:tcW w:w="1131" w:type="dxa"/>
            <w:shd w:val="clear" w:color="auto" w:fill="B4C6E7" w:themeFill="accent5" w:themeFillTint="66"/>
            <w:noWrap/>
            <w:vAlign w:val="center"/>
          </w:tcPr>
          <w:p w14:paraId="6E90ACE6" w14:textId="263D1A7F" w:rsidR="00567CFF" w:rsidRPr="00E00C79" w:rsidRDefault="00E122E7" w:rsidP="009B6C52">
            <w:pPr>
              <w:jc w:val="right"/>
              <w:rPr>
                <w:b/>
                <w:bCs/>
                <w:sz w:val="22"/>
              </w:rPr>
            </w:pPr>
            <w:r>
              <w:rPr>
                <w:b/>
                <w:bCs/>
                <w:sz w:val="22"/>
              </w:rPr>
              <w:fldChar w:fldCharType="begin"/>
            </w:r>
            <w:r>
              <w:rPr>
                <w:b/>
                <w:bCs/>
                <w:sz w:val="22"/>
              </w:rPr>
              <w:instrText xml:space="preserve"> =SUM(ABOVE) </w:instrText>
            </w:r>
            <w:r>
              <w:rPr>
                <w:b/>
                <w:bCs/>
                <w:sz w:val="22"/>
              </w:rPr>
              <w:fldChar w:fldCharType="separate"/>
            </w:r>
            <w:r>
              <w:rPr>
                <w:b/>
                <w:bCs/>
                <w:noProof/>
                <w:sz w:val="22"/>
              </w:rPr>
              <w:t>27.514</w:t>
            </w:r>
            <w:r>
              <w:rPr>
                <w:b/>
                <w:bCs/>
                <w:sz w:val="22"/>
              </w:rPr>
              <w:fldChar w:fldCharType="end"/>
            </w:r>
          </w:p>
        </w:tc>
        <w:tc>
          <w:tcPr>
            <w:tcW w:w="1117" w:type="dxa"/>
            <w:shd w:val="clear" w:color="auto" w:fill="B4C6E7" w:themeFill="accent5" w:themeFillTint="66"/>
            <w:noWrap/>
            <w:vAlign w:val="center"/>
          </w:tcPr>
          <w:p w14:paraId="3F45F422" w14:textId="725D1EA4" w:rsidR="00567CFF" w:rsidRPr="00E00C79" w:rsidRDefault="00E122E7" w:rsidP="009B6C52">
            <w:pPr>
              <w:jc w:val="right"/>
              <w:rPr>
                <w:b/>
                <w:bCs/>
                <w:sz w:val="22"/>
              </w:rPr>
            </w:pPr>
            <w:r>
              <w:rPr>
                <w:b/>
                <w:bCs/>
                <w:sz w:val="22"/>
              </w:rPr>
              <w:fldChar w:fldCharType="begin"/>
            </w:r>
            <w:r>
              <w:rPr>
                <w:b/>
                <w:bCs/>
                <w:sz w:val="22"/>
              </w:rPr>
              <w:instrText xml:space="preserve"> =SUM(ABOVE) </w:instrText>
            </w:r>
            <w:r>
              <w:rPr>
                <w:b/>
                <w:bCs/>
                <w:sz w:val="22"/>
              </w:rPr>
              <w:fldChar w:fldCharType="separate"/>
            </w:r>
            <w:r>
              <w:rPr>
                <w:b/>
                <w:bCs/>
                <w:noProof/>
                <w:sz w:val="22"/>
              </w:rPr>
              <w:t>19.904</w:t>
            </w:r>
            <w:r>
              <w:rPr>
                <w:b/>
                <w:bCs/>
                <w:sz w:val="22"/>
              </w:rPr>
              <w:fldChar w:fldCharType="end"/>
            </w:r>
          </w:p>
        </w:tc>
        <w:tc>
          <w:tcPr>
            <w:tcW w:w="1117" w:type="dxa"/>
            <w:shd w:val="clear" w:color="auto" w:fill="B4C6E7" w:themeFill="accent5" w:themeFillTint="66"/>
            <w:vAlign w:val="center"/>
          </w:tcPr>
          <w:p w14:paraId="7294D7AE" w14:textId="665D58C5" w:rsidR="00567CFF" w:rsidRPr="009B6C52" w:rsidRDefault="00E122E7" w:rsidP="00C81BFE">
            <w:pPr>
              <w:jc w:val="right"/>
              <w:rPr>
                <w:b/>
                <w:bCs/>
                <w:sz w:val="22"/>
              </w:rPr>
            </w:pPr>
            <w:r>
              <w:rPr>
                <w:b/>
                <w:bCs/>
                <w:sz w:val="22"/>
              </w:rPr>
              <w:fldChar w:fldCharType="begin"/>
            </w:r>
            <w:r>
              <w:rPr>
                <w:b/>
                <w:bCs/>
                <w:sz w:val="22"/>
              </w:rPr>
              <w:instrText xml:space="preserve"> =SUM(ABOVE) </w:instrText>
            </w:r>
            <w:r>
              <w:rPr>
                <w:b/>
                <w:bCs/>
                <w:sz w:val="22"/>
              </w:rPr>
              <w:fldChar w:fldCharType="separate"/>
            </w:r>
            <w:r>
              <w:rPr>
                <w:b/>
                <w:bCs/>
                <w:noProof/>
                <w:sz w:val="22"/>
              </w:rPr>
              <w:t>19.384</w:t>
            </w:r>
            <w:r>
              <w:rPr>
                <w:b/>
                <w:bCs/>
                <w:sz w:val="22"/>
              </w:rPr>
              <w:fldChar w:fldCharType="end"/>
            </w:r>
          </w:p>
        </w:tc>
      </w:tr>
    </w:tbl>
    <w:p w14:paraId="77D53BA5" w14:textId="77777777" w:rsidR="00E00C79" w:rsidRPr="00E00C79" w:rsidRDefault="00E00C79" w:rsidP="00E00C79">
      <w:pPr>
        <w:rPr>
          <w:bCs/>
          <w:sz w:val="22"/>
        </w:rPr>
      </w:pPr>
    </w:p>
    <w:p w14:paraId="4A5E1F8D" w14:textId="77777777" w:rsidR="00E00C79" w:rsidRPr="00E00C79" w:rsidRDefault="00E00C79" w:rsidP="009B6C52">
      <w:pPr>
        <w:pStyle w:val="ListParagraph"/>
        <w:numPr>
          <w:ilvl w:val="1"/>
          <w:numId w:val="3"/>
        </w:numPr>
        <w:spacing w:after="120"/>
        <w:ind w:left="788" w:hanging="431"/>
        <w:contextualSpacing w:val="0"/>
        <w:rPr>
          <w:szCs w:val="22"/>
        </w:rPr>
      </w:pPr>
      <w:r w:rsidRPr="00E00C79">
        <w:rPr>
          <w:szCs w:val="22"/>
        </w:rPr>
        <w:t>Savings</w:t>
      </w:r>
    </w:p>
    <w:p w14:paraId="17ED52BF" w14:textId="77777777" w:rsidR="00E00C79" w:rsidRPr="00E00C79" w:rsidRDefault="00E00C79" w:rsidP="009B6C52">
      <w:pPr>
        <w:pStyle w:val="ListParagraph"/>
        <w:numPr>
          <w:ilvl w:val="2"/>
          <w:numId w:val="3"/>
        </w:numPr>
        <w:spacing w:after="120"/>
        <w:contextualSpacing w:val="0"/>
        <w:rPr>
          <w:szCs w:val="22"/>
        </w:rPr>
      </w:pPr>
      <w:r w:rsidRPr="00E00C79">
        <w:rPr>
          <w:szCs w:val="22"/>
        </w:rPr>
        <w:t>The PCC and Chief Constable have a continuous process to identify and deliver savings to support the revenue budget.</w:t>
      </w:r>
    </w:p>
    <w:p w14:paraId="068C19CB" w14:textId="77777777" w:rsidR="00E00C79" w:rsidRPr="00E00C79" w:rsidRDefault="00E00C79" w:rsidP="009B6C52">
      <w:pPr>
        <w:pStyle w:val="ListParagraph"/>
        <w:numPr>
          <w:ilvl w:val="2"/>
          <w:numId w:val="3"/>
        </w:numPr>
        <w:spacing w:after="120"/>
        <w:contextualSpacing w:val="0"/>
        <w:rPr>
          <w:szCs w:val="22"/>
        </w:rPr>
      </w:pPr>
      <w:r w:rsidRPr="00E00C79">
        <w:rPr>
          <w:szCs w:val="22"/>
        </w:rPr>
        <w:t>The Constabulary develops savings proposals through its 'Business Planning' regime and presents these for agreement by the PCC as part of the annual budget setting process.</w:t>
      </w:r>
    </w:p>
    <w:p w14:paraId="47C64142" w14:textId="2F39EE35" w:rsidR="00E00C79" w:rsidRDefault="00E00C79" w:rsidP="009B6C52">
      <w:pPr>
        <w:pStyle w:val="ListParagraph"/>
        <w:numPr>
          <w:ilvl w:val="2"/>
          <w:numId w:val="3"/>
        </w:numPr>
        <w:spacing w:after="120"/>
        <w:contextualSpacing w:val="0"/>
        <w:rPr>
          <w:szCs w:val="22"/>
        </w:rPr>
      </w:pPr>
      <w:r w:rsidRPr="00E00C79">
        <w:rPr>
          <w:szCs w:val="22"/>
        </w:rPr>
        <w:t>Th</w:t>
      </w:r>
      <w:r w:rsidR="00C81BFE">
        <w:rPr>
          <w:szCs w:val="22"/>
        </w:rPr>
        <w:t>is</w:t>
      </w:r>
      <w:r w:rsidRPr="00E00C79">
        <w:rPr>
          <w:szCs w:val="22"/>
        </w:rPr>
        <w:t xml:space="preserve"> process has </w:t>
      </w:r>
      <w:r w:rsidR="00C81BFE">
        <w:rPr>
          <w:szCs w:val="22"/>
        </w:rPr>
        <w:t>identified</w:t>
      </w:r>
      <w:r w:rsidRPr="00E00C79">
        <w:rPr>
          <w:szCs w:val="22"/>
        </w:rPr>
        <w:t xml:space="preserve"> the following savings </w:t>
      </w:r>
      <w:r w:rsidR="00C81BFE">
        <w:rPr>
          <w:szCs w:val="22"/>
        </w:rPr>
        <w:t xml:space="preserve">to be delivered </w:t>
      </w:r>
      <w:r w:rsidR="00E819BB">
        <w:rPr>
          <w:szCs w:val="22"/>
        </w:rPr>
        <w:t>in 2026</w:t>
      </w:r>
      <w:r w:rsidR="00E122E7">
        <w:rPr>
          <w:szCs w:val="22"/>
        </w:rPr>
        <w:t>/27</w:t>
      </w:r>
      <w:r w:rsidR="00E819BB">
        <w:rPr>
          <w:szCs w:val="22"/>
        </w:rPr>
        <w:t xml:space="preserve"> and future years</w:t>
      </w:r>
      <w:r w:rsidRPr="00E00C79">
        <w:rPr>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89"/>
        <w:gridCol w:w="6408"/>
      </w:tblGrid>
      <w:tr w:rsidR="00E122E7" w:rsidRPr="00E122E7" w14:paraId="3D6473B0" w14:textId="77777777" w:rsidTr="00F444FB">
        <w:trPr>
          <w:jc w:val="center"/>
        </w:trPr>
        <w:tc>
          <w:tcPr>
            <w:tcW w:w="1184" w:type="pct"/>
            <w:tcBorders>
              <w:bottom w:val="single" w:sz="4" w:space="0" w:color="auto"/>
            </w:tcBorders>
          </w:tcPr>
          <w:p w14:paraId="2029FC50" w14:textId="77777777" w:rsidR="00E122E7" w:rsidRPr="00E122E7" w:rsidRDefault="00E122E7" w:rsidP="00E122E7">
            <w:pPr>
              <w:rPr>
                <w:rFonts w:cs="Times New Roman"/>
                <w:sz w:val="22"/>
              </w:rPr>
            </w:pPr>
          </w:p>
        </w:tc>
        <w:tc>
          <w:tcPr>
            <w:tcW w:w="382" w:type="pct"/>
            <w:tcBorders>
              <w:left w:val="single" w:sz="4" w:space="0" w:color="auto"/>
              <w:bottom w:val="single" w:sz="4" w:space="0" w:color="auto"/>
              <w:right w:val="single" w:sz="4" w:space="0" w:color="auto"/>
            </w:tcBorders>
          </w:tcPr>
          <w:p w14:paraId="05C14B4E" w14:textId="77777777" w:rsidR="00E122E7" w:rsidRPr="00E122E7" w:rsidRDefault="00E122E7" w:rsidP="00E122E7">
            <w:pPr>
              <w:jc w:val="center"/>
              <w:rPr>
                <w:rFonts w:cs="Times New Roman"/>
                <w:b/>
                <w:sz w:val="22"/>
              </w:rPr>
            </w:pPr>
            <w:r w:rsidRPr="00E122E7">
              <w:rPr>
                <w:rFonts w:cs="Arial"/>
                <w:b/>
                <w:sz w:val="22"/>
                <w:lang w:eastAsia="en-US"/>
              </w:rPr>
              <w:t>£m</w:t>
            </w:r>
          </w:p>
        </w:tc>
        <w:tc>
          <w:tcPr>
            <w:tcW w:w="3434" w:type="pct"/>
            <w:tcBorders>
              <w:left w:val="single" w:sz="4" w:space="0" w:color="auto"/>
              <w:bottom w:val="single" w:sz="4" w:space="0" w:color="auto"/>
              <w:right w:val="single" w:sz="4" w:space="0" w:color="auto"/>
            </w:tcBorders>
          </w:tcPr>
          <w:p w14:paraId="63729253" w14:textId="77777777" w:rsidR="00E122E7" w:rsidRPr="00E122E7" w:rsidRDefault="00E122E7" w:rsidP="00E122E7">
            <w:pPr>
              <w:jc w:val="center"/>
              <w:rPr>
                <w:rFonts w:cs="Arial"/>
                <w:b/>
                <w:sz w:val="22"/>
                <w:lang w:eastAsia="en-US"/>
              </w:rPr>
            </w:pPr>
          </w:p>
        </w:tc>
      </w:tr>
      <w:tr w:rsidR="00E122E7" w:rsidRPr="00E122E7" w14:paraId="5F8BF039" w14:textId="77777777" w:rsidTr="00F444FB">
        <w:trPr>
          <w:jc w:val="center"/>
        </w:trPr>
        <w:tc>
          <w:tcPr>
            <w:tcW w:w="1184" w:type="pct"/>
            <w:tcBorders>
              <w:top w:val="nil"/>
              <w:left w:val="single" w:sz="4" w:space="0" w:color="auto"/>
              <w:bottom w:val="nil"/>
              <w:right w:val="single" w:sz="4" w:space="0" w:color="auto"/>
            </w:tcBorders>
          </w:tcPr>
          <w:p w14:paraId="51B6F23D" w14:textId="77777777" w:rsidR="00E122E7" w:rsidRPr="00E122E7" w:rsidRDefault="00E122E7" w:rsidP="00E122E7">
            <w:pPr>
              <w:rPr>
                <w:rFonts w:cs="Times New Roman"/>
                <w:sz w:val="22"/>
              </w:rPr>
            </w:pPr>
            <w:r w:rsidRPr="00E122E7">
              <w:rPr>
                <w:sz w:val="22"/>
              </w:rPr>
              <w:t>Employer pension contributions</w:t>
            </w:r>
          </w:p>
        </w:tc>
        <w:tc>
          <w:tcPr>
            <w:tcW w:w="382" w:type="pct"/>
            <w:tcBorders>
              <w:top w:val="nil"/>
              <w:left w:val="single" w:sz="4" w:space="0" w:color="auto"/>
              <w:bottom w:val="nil"/>
              <w:right w:val="single" w:sz="4" w:space="0" w:color="auto"/>
            </w:tcBorders>
          </w:tcPr>
          <w:p w14:paraId="7277FD0D" w14:textId="184EC991" w:rsidR="00E122E7" w:rsidRPr="00E122E7" w:rsidRDefault="00E122E7" w:rsidP="00E122E7">
            <w:pPr>
              <w:jc w:val="right"/>
              <w:rPr>
                <w:rFonts w:cs="Times New Roman"/>
                <w:sz w:val="22"/>
              </w:rPr>
            </w:pPr>
            <w:r w:rsidRPr="00E122E7">
              <w:rPr>
                <w:sz w:val="22"/>
              </w:rPr>
              <w:t>5.</w:t>
            </w:r>
            <w:r>
              <w:rPr>
                <w:sz w:val="22"/>
              </w:rPr>
              <w:t>769</w:t>
            </w:r>
          </w:p>
        </w:tc>
        <w:tc>
          <w:tcPr>
            <w:tcW w:w="3434" w:type="pct"/>
            <w:tcBorders>
              <w:top w:val="nil"/>
              <w:left w:val="single" w:sz="4" w:space="0" w:color="auto"/>
              <w:bottom w:val="nil"/>
              <w:right w:val="single" w:sz="4" w:space="0" w:color="auto"/>
            </w:tcBorders>
          </w:tcPr>
          <w:p w14:paraId="0033D556" w14:textId="77777777" w:rsidR="00E122E7" w:rsidRPr="00E122E7" w:rsidRDefault="00E122E7" w:rsidP="00E122E7">
            <w:pPr>
              <w:rPr>
                <w:rFonts w:cs="Times New Roman"/>
                <w:sz w:val="22"/>
              </w:rPr>
            </w:pPr>
            <w:r w:rsidRPr="00E122E7">
              <w:rPr>
                <w:sz w:val="22"/>
              </w:rPr>
              <w:t>The triennial revaluation of the local government pension scheme has identified a reduced requirement for employers in respect of Police Staff.</w:t>
            </w:r>
          </w:p>
        </w:tc>
      </w:tr>
      <w:tr w:rsidR="00E122E7" w:rsidRPr="00E122E7" w14:paraId="233FDE07" w14:textId="77777777" w:rsidTr="00F444FB">
        <w:trPr>
          <w:jc w:val="center"/>
        </w:trPr>
        <w:tc>
          <w:tcPr>
            <w:tcW w:w="1184" w:type="pct"/>
            <w:tcBorders>
              <w:top w:val="nil"/>
              <w:left w:val="single" w:sz="4" w:space="0" w:color="auto"/>
              <w:bottom w:val="nil"/>
              <w:right w:val="single" w:sz="4" w:space="0" w:color="auto"/>
            </w:tcBorders>
          </w:tcPr>
          <w:p w14:paraId="168BAC74" w14:textId="77777777" w:rsidR="00E122E7" w:rsidRPr="00E122E7" w:rsidRDefault="00E122E7" w:rsidP="00E122E7">
            <w:pPr>
              <w:rPr>
                <w:rFonts w:cs="Times New Roman"/>
                <w:sz w:val="22"/>
              </w:rPr>
            </w:pPr>
            <w:r w:rsidRPr="00E122E7">
              <w:rPr>
                <w:sz w:val="22"/>
              </w:rPr>
              <w:t>Abnormal Load escorts</w:t>
            </w:r>
          </w:p>
        </w:tc>
        <w:tc>
          <w:tcPr>
            <w:tcW w:w="382" w:type="pct"/>
            <w:tcBorders>
              <w:top w:val="nil"/>
              <w:left w:val="single" w:sz="4" w:space="0" w:color="auto"/>
              <w:bottom w:val="nil"/>
              <w:right w:val="single" w:sz="4" w:space="0" w:color="auto"/>
            </w:tcBorders>
          </w:tcPr>
          <w:p w14:paraId="076395AB" w14:textId="4DC88EF0" w:rsidR="00E122E7" w:rsidRPr="00E122E7" w:rsidRDefault="00E122E7" w:rsidP="00E122E7">
            <w:pPr>
              <w:jc w:val="right"/>
              <w:rPr>
                <w:rFonts w:cs="Times New Roman"/>
                <w:sz w:val="22"/>
              </w:rPr>
            </w:pPr>
            <w:r w:rsidRPr="00E122E7">
              <w:rPr>
                <w:sz w:val="22"/>
              </w:rPr>
              <w:t>0.2</w:t>
            </w:r>
            <w:r>
              <w:rPr>
                <w:sz w:val="22"/>
              </w:rPr>
              <w:t>11</w:t>
            </w:r>
          </w:p>
        </w:tc>
        <w:tc>
          <w:tcPr>
            <w:tcW w:w="3434" w:type="pct"/>
            <w:tcBorders>
              <w:top w:val="nil"/>
              <w:left w:val="single" w:sz="4" w:space="0" w:color="auto"/>
              <w:bottom w:val="nil"/>
              <w:right w:val="single" w:sz="4" w:space="0" w:color="auto"/>
            </w:tcBorders>
          </w:tcPr>
          <w:p w14:paraId="12716517" w14:textId="77777777" w:rsidR="00E122E7" w:rsidRPr="00E122E7" w:rsidRDefault="00E122E7" w:rsidP="00E122E7">
            <w:pPr>
              <w:rPr>
                <w:rFonts w:cs="Times New Roman"/>
                <w:sz w:val="22"/>
              </w:rPr>
            </w:pPr>
            <w:r w:rsidRPr="00E122E7">
              <w:rPr>
                <w:sz w:val="22"/>
              </w:rPr>
              <w:t>The constabulary can make a charge to meet the costs of escorting abnormal loads on the highways network in Lancashire</w:t>
            </w:r>
          </w:p>
        </w:tc>
      </w:tr>
      <w:tr w:rsidR="00E122E7" w:rsidRPr="00E122E7" w14:paraId="50532904" w14:textId="77777777" w:rsidTr="00F444FB">
        <w:trPr>
          <w:jc w:val="center"/>
        </w:trPr>
        <w:tc>
          <w:tcPr>
            <w:tcW w:w="1184" w:type="pct"/>
            <w:tcBorders>
              <w:top w:val="nil"/>
              <w:left w:val="single" w:sz="4" w:space="0" w:color="auto"/>
              <w:bottom w:val="nil"/>
              <w:right w:val="single" w:sz="4" w:space="0" w:color="auto"/>
            </w:tcBorders>
          </w:tcPr>
          <w:p w14:paraId="64356EA2" w14:textId="77777777" w:rsidR="00E122E7" w:rsidRPr="00E122E7" w:rsidRDefault="00E122E7" w:rsidP="00E122E7">
            <w:pPr>
              <w:rPr>
                <w:rFonts w:cs="Times New Roman"/>
                <w:sz w:val="22"/>
              </w:rPr>
            </w:pPr>
            <w:r w:rsidRPr="00E122E7">
              <w:rPr>
                <w:sz w:val="22"/>
              </w:rPr>
              <w:t>Firearms licencing</w:t>
            </w:r>
          </w:p>
        </w:tc>
        <w:tc>
          <w:tcPr>
            <w:tcW w:w="382" w:type="pct"/>
            <w:tcBorders>
              <w:top w:val="nil"/>
              <w:left w:val="single" w:sz="4" w:space="0" w:color="auto"/>
              <w:bottom w:val="nil"/>
              <w:right w:val="single" w:sz="4" w:space="0" w:color="auto"/>
            </w:tcBorders>
          </w:tcPr>
          <w:p w14:paraId="70E2309D" w14:textId="50F7BF63" w:rsidR="00E122E7" w:rsidRPr="00E122E7" w:rsidRDefault="00E122E7" w:rsidP="00E122E7">
            <w:pPr>
              <w:jc w:val="right"/>
              <w:rPr>
                <w:rFonts w:cs="Times New Roman"/>
                <w:sz w:val="22"/>
              </w:rPr>
            </w:pPr>
            <w:r w:rsidRPr="00E122E7">
              <w:rPr>
                <w:sz w:val="22"/>
              </w:rPr>
              <w:t>0.10</w:t>
            </w:r>
            <w:r>
              <w:rPr>
                <w:sz w:val="22"/>
              </w:rPr>
              <w:t>6</w:t>
            </w:r>
          </w:p>
        </w:tc>
        <w:tc>
          <w:tcPr>
            <w:tcW w:w="3434" w:type="pct"/>
            <w:tcBorders>
              <w:top w:val="nil"/>
              <w:left w:val="single" w:sz="4" w:space="0" w:color="auto"/>
              <w:bottom w:val="nil"/>
              <w:right w:val="single" w:sz="4" w:space="0" w:color="auto"/>
            </w:tcBorders>
          </w:tcPr>
          <w:p w14:paraId="306FE93A" w14:textId="77777777" w:rsidR="00E122E7" w:rsidRPr="00E122E7" w:rsidRDefault="00E122E7" w:rsidP="00E122E7">
            <w:pPr>
              <w:rPr>
                <w:rFonts w:cs="Times New Roman"/>
                <w:sz w:val="22"/>
              </w:rPr>
            </w:pPr>
            <w:r w:rsidRPr="00E122E7">
              <w:rPr>
                <w:sz w:val="22"/>
              </w:rPr>
              <w:t>The revised fee structure introduced by the government has increased the amount of income received in respect of firearms licencing</w:t>
            </w:r>
          </w:p>
        </w:tc>
      </w:tr>
      <w:tr w:rsidR="00E122E7" w:rsidRPr="00E122E7" w14:paraId="1457C4FA" w14:textId="77777777" w:rsidTr="00F444FB">
        <w:trPr>
          <w:jc w:val="center"/>
        </w:trPr>
        <w:tc>
          <w:tcPr>
            <w:tcW w:w="1184" w:type="pct"/>
            <w:tcBorders>
              <w:top w:val="nil"/>
              <w:left w:val="single" w:sz="4" w:space="0" w:color="auto"/>
              <w:bottom w:val="nil"/>
              <w:right w:val="single" w:sz="4" w:space="0" w:color="auto"/>
            </w:tcBorders>
          </w:tcPr>
          <w:p w14:paraId="21595B37" w14:textId="77777777" w:rsidR="00E122E7" w:rsidRPr="00E122E7" w:rsidRDefault="00E122E7" w:rsidP="00E122E7">
            <w:pPr>
              <w:rPr>
                <w:rFonts w:cs="Times New Roman"/>
                <w:sz w:val="22"/>
              </w:rPr>
            </w:pPr>
            <w:r w:rsidRPr="00E122E7">
              <w:rPr>
                <w:sz w:val="22"/>
              </w:rPr>
              <w:t>Vacancy management</w:t>
            </w:r>
          </w:p>
        </w:tc>
        <w:tc>
          <w:tcPr>
            <w:tcW w:w="382" w:type="pct"/>
            <w:tcBorders>
              <w:top w:val="nil"/>
              <w:left w:val="single" w:sz="4" w:space="0" w:color="auto"/>
              <w:bottom w:val="nil"/>
              <w:right w:val="single" w:sz="4" w:space="0" w:color="auto"/>
            </w:tcBorders>
          </w:tcPr>
          <w:p w14:paraId="7C0D21DF" w14:textId="77777777" w:rsidR="00E122E7" w:rsidRPr="00E122E7" w:rsidRDefault="00E122E7" w:rsidP="00E122E7">
            <w:pPr>
              <w:jc w:val="right"/>
              <w:rPr>
                <w:rFonts w:cs="Times New Roman"/>
                <w:sz w:val="22"/>
              </w:rPr>
            </w:pPr>
            <w:r w:rsidRPr="00E122E7">
              <w:rPr>
                <w:sz w:val="22"/>
              </w:rPr>
              <w:t>1.830</w:t>
            </w:r>
          </w:p>
        </w:tc>
        <w:tc>
          <w:tcPr>
            <w:tcW w:w="3434" w:type="pct"/>
            <w:tcBorders>
              <w:top w:val="nil"/>
              <w:left w:val="single" w:sz="4" w:space="0" w:color="auto"/>
              <w:bottom w:val="nil"/>
              <w:right w:val="single" w:sz="4" w:space="0" w:color="auto"/>
            </w:tcBorders>
          </w:tcPr>
          <w:p w14:paraId="1ED96080" w14:textId="77777777" w:rsidR="00E122E7" w:rsidRPr="00E122E7" w:rsidRDefault="00E122E7" w:rsidP="00E122E7">
            <w:pPr>
              <w:rPr>
                <w:rFonts w:cs="Times New Roman"/>
                <w:sz w:val="22"/>
              </w:rPr>
            </w:pPr>
            <w:r w:rsidRPr="00E122E7">
              <w:rPr>
                <w:sz w:val="22"/>
              </w:rPr>
              <w:t>Savings can be generated by closely controlling the timing of recruitment across the organisation delivering saving against the budget for each of the posts recruited to in the year</w:t>
            </w:r>
          </w:p>
        </w:tc>
      </w:tr>
      <w:tr w:rsidR="00E122E7" w:rsidRPr="00E122E7" w14:paraId="4066E88F" w14:textId="77777777" w:rsidTr="00F444FB">
        <w:trPr>
          <w:jc w:val="center"/>
        </w:trPr>
        <w:tc>
          <w:tcPr>
            <w:tcW w:w="1184" w:type="pct"/>
            <w:tcBorders>
              <w:top w:val="nil"/>
              <w:left w:val="single" w:sz="4" w:space="0" w:color="auto"/>
              <w:bottom w:val="nil"/>
              <w:right w:val="single" w:sz="4" w:space="0" w:color="auto"/>
            </w:tcBorders>
          </w:tcPr>
          <w:p w14:paraId="062C6053" w14:textId="77777777" w:rsidR="00E122E7" w:rsidRPr="00E122E7" w:rsidRDefault="00E122E7" w:rsidP="00E122E7">
            <w:pPr>
              <w:rPr>
                <w:rFonts w:cs="Times New Roman"/>
                <w:sz w:val="22"/>
              </w:rPr>
            </w:pPr>
            <w:r w:rsidRPr="00E122E7">
              <w:rPr>
                <w:sz w:val="22"/>
              </w:rPr>
              <w:t>Efficiency savings</w:t>
            </w:r>
          </w:p>
        </w:tc>
        <w:tc>
          <w:tcPr>
            <w:tcW w:w="382" w:type="pct"/>
            <w:tcBorders>
              <w:top w:val="nil"/>
              <w:left w:val="single" w:sz="4" w:space="0" w:color="auto"/>
              <w:bottom w:val="nil"/>
              <w:right w:val="single" w:sz="4" w:space="0" w:color="auto"/>
            </w:tcBorders>
          </w:tcPr>
          <w:p w14:paraId="6F77F7C9" w14:textId="77777777" w:rsidR="00E122E7" w:rsidRPr="00E122E7" w:rsidRDefault="00E122E7" w:rsidP="00E122E7">
            <w:pPr>
              <w:jc w:val="right"/>
              <w:rPr>
                <w:rFonts w:cs="Times New Roman"/>
                <w:sz w:val="22"/>
              </w:rPr>
            </w:pPr>
            <w:r w:rsidRPr="00E122E7">
              <w:rPr>
                <w:sz w:val="22"/>
              </w:rPr>
              <w:t>0.275</w:t>
            </w:r>
          </w:p>
        </w:tc>
        <w:tc>
          <w:tcPr>
            <w:tcW w:w="3434" w:type="pct"/>
            <w:tcBorders>
              <w:top w:val="nil"/>
              <w:left w:val="single" w:sz="4" w:space="0" w:color="auto"/>
              <w:bottom w:val="nil"/>
              <w:right w:val="single" w:sz="4" w:space="0" w:color="auto"/>
            </w:tcBorders>
          </w:tcPr>
          <w:p w14:paraId="6869DD97" w14:textId="77777777" w:rsidR="00E122E7" w:rsidRPr="00E122E7" w:rsidRDefault="00E122E7" w:rsidP="00E122E7">
            <w:pPr>
              <w:rPr>
                <w:rFonts w:cs="Times New Roman"/>
                <w:sz w:val="22"/>
              </w:rPr>
            </w:pPr>
            <w:r w:rsidRPr="00E122E7">
              <w:rPr>
                <w:sz w:val="22"/>
              </w:rPr>
              <w:t xml:space="preserve">Efficiency improvements </w:t>
            </w:r>
            <w:proofErr w:type="gramStart"/>
            <w:r w:rsidRPr="00E122E7">
              <w:rPr>
                <w:sz w:val="22"/>
              </w:rPr>
              <w:t>through the use of</w:t>
            </w:r>
            <w:proofErr w:type="gramEnd"/>
            <w:r w:rsidRPr="00E122E7">
              <w:rPr>
                <w:sz w:val="22"/>
              </w:rPr>
              <w:t xml:space="preserve"> technology and improvements in working processes</w:t>
            </w:r>
          </w:p>
        </w:tc>
      </w:tr>
      <w:tr w:rsidR="00E122E7" w:rsidRPr="00E122E7" w14:paraId="49549A90" w14:textId="77777777" w:rsidTr="00F444FB">
        <w:trPr>
          <w:jc w:val="center"/>
        </w:trPr>
        <w:tc>
          <w:tcPr>
            <w:tcW w:w="1184" w:type="pct"/>
            <w:tcBorders>
              <w:top w:val="nil"/>
              <w:left w:val="single" w:sz="4" w:space="0" w:color="auto"/>
              <w:bottom w:val="nil"/>
              <w:right w:val="single" w:sz="4" w:space="0" w:color="auto"/>
            </w:tcBorders>
          </w:tcPr>
          <w:p w14:paraId="46F495B5" w14:textId="77777777" w:rsidR="00E122E7" w:rsidRPr="00E122E7" w:rsidRDefault="00E122E7" w:rsidP="00E122E7">
            <w:pPr>
              <w:rPr>
                <w:rFonts w:cs="Times New Roman"/>
                <w:sz w:val="22"/>
              </w:rPr>
            </w:pPr>
            <w:r w:rsidRPr="00E122E7">
              <w:rPr>
                <w:sz w:val="22"/>
              </w:rPr>
              <w:t>Operational review</w:t>
            </w:r>
          </w:p>
        </w:tc>
        <w:tc>
          <w:tcPr>
            <w:tcW w:w="382" w:type="pct"/>
            <w:tcBorders>
              <w:top w:val="nil"/>
              <w:left w:val="single" w:sz="4" w:space="0" w:color="auto"/>
              <w:bottom w:val="nil"/>
              <w:right w:val="single" w:sz="4" w:space="0" w:color="auto"/>
            </w:tcBorders>
          </w:tcPr>
          <w:p w14:paraId="30201FD7" w14:textId="4E03F08D" w:rsidR="00E122E7" w:rsidRPr="00E122E7" w:rsidRDefault="00E122E7" w:rsidP="00E122E7">
            <w:pPr>
              <w:jc w:val="right"/>
              <w:rPr>
                <w:rFonts w:cs="Times New Roman"/>
                <w:sz w:val="22"/>
              </w:rPr>
            </w:pPr>
            <w:r>
              <w:rPr>
                <w:sz w:val="22"/>
              </w:rPr>
              <w:t>2.689</w:t>
            </w:r>
          </w:p>
        </w:tc>
        <w:tc>
          <w:tcPr>
            <w:tcW w:w="3434" w:type="pct"/>
            <w:tcBorders>
              <w:top w:val="nil"/>
              <w:left w:val="single" w:sz="4" w:space="0" w:color="auto"/>
              <w:bottom w:val="nil"/>
              <w:right w:val="single" w:sz="4" w:space="0" w:color="auto"/>
            </w:tcBorders>
          </w:tcPr>
          <w:p w14:paraId="5B7241D6" w14:textId="77777777" w:rsidR="00E122E7" w:rsidRPr="00E122E7" w:rsidRDefault="00E122E7" w:rsidP="00E122E7">
            <w:pPr>
              <w:rPr>
                <w:rFonts w:cs="Times New Roman"/>
                <w:sz w:val="22"/>
              </w:rPr>
            </w:pPr>
            <w:r w:rsidRPr="00E122E7">
              <w:rPr>
                <w:sz w:val="22"/>
              </w:rPr>
              <w:t>The continuous review of the way the organisation delivers its services has identified savings that will be delivered in 2026/27</w:t>
            </w:r>
          </w:p>
        </w:tc>
      </w:tr>
      <w:tr w:rsidR="00E122E7" w:rsidRPr="00E122E7" w14:paraId="0D35ABE8" w14:textId="77777777" w:rsidTr="00F444FB">
        <w:trPr>
          <w:trHeight w:val="617"/>
          <w:jc w:val="center"/>
        </w:trPr>
        <w:tc>
          <w:tcPr>
            <w:tcW w:w="1184" w:type="pct"/>
            <w:tcBorders>
              <w:top w:val="single" w:sz="4" w:space="0" w:color="auto"/>
            </w:tcBorders>
            <w:shd w:val="clear" w:color="auto" w:fill="C6D9F1"/>
            <w:vAlign w:val="center"/>
          </w:tcPr>
          <w:p w14:paraId="4DBA6EC3" w14:textId="77777777" w:rsidR="00E122E7" w:rsidRPr="00E122E7" w:rsidRDefault="00E122E7" w:rsidP="00E122E7">
            <w:pPr>
              <w:rPr>
                <w:rFonts w:cs="Times New Roman"/>
                <w:b/>
                <w:sz w:val="22"/>
              </w:rPr>
            </w:pPr>
            <w:r w:rsidRPr="00E122E7">
              <w:rPr>
                <w:rFonts w:cs="Times New Roman"/>
                <w:b/>
                <w:sz w:val="22"/>
              </w:rPr>
              <w:t>Total</w:t>
            </w:r>
          </w:p>
        </w:tc>
        <w:tc>
          <w:tcPr>
            <w:tcW w:w="382" w:type="pct"/>
            <w:tcBorders>
              <w:top w:val="single" w:sz="4" w:space="0" w:color="auto"/>
            </w:tcBorders>
            <w:shd w:val="clear" w:color="auto" w:fill="C6D9F1"/>
            <w:vAlign w:val="center"/>
          </w:tcPr>
          <w:p w14:paraId="043810A0" w14:textId="04BA6E56" w:rsidR="00E122E7" w:rsidRPr="00E122E7" w:rsidRDefault="00E122E7" w:rsidP="00E122E7">
            <w:pPr>
              <w:jc w:val="right"/>
              <w:rPr>
                <w:rFonts w:cs="Times New Roman"/>
                <w:b/>
                <w:sz w:val="22"/>
              </w:rPr>
            </w:pPr>
            <w:r>
              <w:rPr>
                <w:rFonts w:cs="Times New Roman"/>
                <w:b/>
                <w:sz w:val="22"/>
              </w:rPr>
              <w:fldChar w:fldCharType="begin"/>
            </w:r>
            <w:r>
              <w:rPr>
                <w:rFonts w:cs="Times New Roman"/>
                <w:b/>
                <w:sz w:val="22"/>
              </w:rPr>
              <w:instrText xml:space="preserve"> =SUM(ABOVE) </w:instrText>
            </w:r>
            <w:r>
              <w:rPr>
                <w:rFonts w:cs="Times New Roman"/>
                <w:b/>
                <w:sz w:val="22"/>
              </w:rPr>
              <w:fldChar w:fldCharType="separate"/>
            </w:r>
            <w:r>
              <w:rPr>
                <w:rFonts w:cs="Times New Roman"/>
                <w:b/>
                <w:noProof/>
                <w:sz w:val="22"/>
              </w:rPr>
              <w:t>10.88</w:t>
            </w:r>
            <w:r>
              <w:rPr>
                <w:rFonts w:cs="Times New Roman"/>
                <w:b/>
                <w:sz w:val="22"/>
              </w:rPr>
              <w:fldChar w:fldCharType="end"/>
            </w:r>
            <w:r>
              <w:rPr>
                <w:rFonts w:cs="Times New Roman"/>
                <w:b/>
                <w:sz w:val="22"/>
              </w:rPr>
              <w:t>0</w:t>
            </w:r>
          </w:p>
        </w:tc>
        <w:tc>
          <w:tcPr>
            <w:tcW w:w="3434" w:type="pct"/>
            <w:tcBorders>
              <w:top w:val="single" w:sz="4" w:space="0" w:color="auto"/>
            </w:tcBorders>
            <w:shd w:val="clear" w:color="auto" w:fill="C6D9F1"/>
          </w:tcPr>
          <w:p w14:paraId="75E27F2C" w14:textId="77777777" w:rsidR="00E122E7" w:rsidRPr="00E122E7" w:rsidRDefault="00E122E7" w:rsidP="00E122E7">
            <w:pPr>
              <w:jc w:val="right"/>
              <w:rPr>
                <w:rFonts w:cs="Times New Roman"/>
                <w:b/>
                <w:sz w:val="22"/>
              </w:rPr>
            </w:pPr>
          </w:p>
        </w:tc>
      </w:tr>
    </w:tbl>
    <w:p w14:paraId="316D3BF9" w14:textId="77777777" w:rsidR="00E819BB" w:rsidRPr="00E00C79" w:rsidRDefault="00E819BB" w:rsidP="00E819BB">
      <w:pPr>
        <w:pStyle w:val="ListParagraph"/>
        <w:spacing w:after="120"/>
        <w:ind w:left="1224"/>
        <w:contextualSpacing w:val="0"/>
        <w:rPr>
          <w:szCs w:val="22"/>
        </w:rPr>
      </w:pPr>
    </w:p>
    <w:p w14:paraId="436CE260" w14:textId="77777777" w:rsidR="00E00C79" w:rsidRPr="00E00C79" w:rsidRDefault="00E00C79" w:rsidP="00E00C79">
      <w:pPr>
        <w:rPr>
          <w:sz w:val="22"/>
        </w:rPr>
      </w:pPr>
    </w:p>
    <w:p w14:paraId="43355883" w14:textId="4B814972" w:rsidR="00E00C79" w:rsidRPr="00E00C79" w:rsidRDefault="00E00C79" w:rsidP="009B6C52">
      <w:pPr>
        <w:pStyle w:val="ListParagraph"/>
        <w:numPr>
          <w:ilvl w:val="2"/>
          <w:numId w:val="3"/>
        </w:numPr>
        <w:spacing w:after="120"/>
        <w:contextualSpacing w:val="0"/>
        <w:rPr>
          <w:szCs w:val="22"/>
        </w:rPr>
      </w:pPr>
      <w:r w:rsidRPr="00E00C79">
        <w:rPr>
          <w:szCs w:val="22"/>
        </w:rPr>
        <w:t xml:space="preserve">This process will continue and will deliver further proposals that will meet the funding gap set out in </w:t>
      </w:r>
      <w:r w:rsidR="009B6C52" w:rsidRPr="009B6C52">
        <w:rPr>
          <w:szCs w:val="22"/>
        </w:rPr>
        <w:t>this report</w:t>
      </w:r>
      <w:r w:rsidRPr="00E00C79">
        <w:rPr>
          <w:szCs w:val="22"/>
        </w:rPr>
        <w:t>.</w:t>
      </w:r>
    </w:p>
    <w:p w14:paraId="7091790C" w14:textId="77777777" w:rsidR="00E00C79" w:rsidRPr="00E00C79" w:rsidRDefault="00E00C79" w:rsidP="009B6C52">
      <w:pPr>
        <w:pStyle w:val="ListParagraph"/>
        <w:spacing w:after="120"/>
        <w:ind w:left="788"/>
        <w:contextualSpacing w:val="0"/>
        <w:rPr>
          <w:szCs w:val="22"/>
        </w:rPr>
      </w:pPr>
    </w:p>
    <w:p w14:paraId="17DDAAF0" w14:textId="77777777" w:rsidR="00E00C79" w:rsidRPr="00E00C79" w:rsidRDefault="00E00C79" w:rsidP="009B6C52">
      <w:pPr>
        <w:pStyle w:val="ListParagraph"/>
        <w:numPr>
          <w:ilvl w:val="1"/>
          <w:numId w:val="3"/>
        </w:numPr>
        <w:spacing w:after="120"/>
        <w:ind w:left="788" w:hanging="431"/>
        <w:contextualSpacing w:val="0"/>
        <w:rPr>
          <w:szCs w:val="22"/>
        </w:rPr>
      </w:pPr>
      <w:r w:rsidRPr="00E00C79">
        <w:rPr>
          <w:szCs w:val="22"/>
        </w:rPr>
        <w:t>Funding gap</w:t>
      </w:r>
    </w:p>
    <w:p w14:paraId="2DF36A1E" w14:textId="77777777" w:rsidR="00E00C79" w:rsidRPr="00E00C79" w:rsidRDefault="00E00C79" w:rsidP="009B6C52">
      <w:pPr>
        <w:pStyle w:val="ListParagraph"/>
        <w:numPr>
          <w:ilvl w:val="2"/>
          <w:numId w:val="3"/>
        </w:numPr>
        <w:spacing w:after="120"/>
        <w:contextualSpacing w:val="0"/>
        <w:rPr>
          <w:szCs w:val="22"/>
        </w:rPr>
      </w:pPr>
      <w:r w:rsidRPr="00E00C79">
        <w:rPr>
          <w:szCs w:val="22"/>
        </w:rPr>
        <w:t>To determine the funding gap over the MTFS period the forecast resources and cost pressures in this report are brought into the existing budget requirement to give the following:</w:t>
      </w:r>
    </w:p>
    <w:tbl>
      <w:tblPr>
        <w:tblStyle w:val="TableGrid"/>
        <w:tblW w:w="0" w:type="auto"/>
        <w:jc w:val="center"/>
        <w:tblInd w:w="0" w:type="dxa"/>
        <w:tblLook w:val="04A0" w:firstRow="1" w:lastRow="0" w:firstColumn="1" w:lastColumn="0" w:noHBand="0" w:noVBand="1"/>
      </w:tblPr>
      <w:tblGrid>
        <w:gridCol w:w="2551"/>
        <w:gridCol w:w="1012"/>
        <w:gridCol w:w="1012"/>
        <w:gridCol w:w="1012"/>
      </w:tblGrid>
      <w:tr w:rsidR="00E122E7" w:rsidRPr="00E00C79" w14:paraId="01C1ED77" w14:textId="46C2F0C2" w:rsidTr="00E122E7">
        <w:trPr>
          <w:trHeight w:val="89"/>
          <w:jc w:val="center"/>
        </w:trPr>
        <w:tc>
          <w:tcPr>
            <w:tcW w:w="0" w:type="auto"/>
            <w:noWrap/>
            <w:hideMark/>
          </w:tcPr>
          <w:p w14:paraId="6E3ACBD3" w14:textId="77777777" w:rsidR="00E122E7" w:rsidRPr="00E00C79" w:rsidRDefault="00E122E7" w:rsidP="009B6C52">
            <w:pPr>
              <w:rPr>
                <w:b/>
                <w:bCs/>
                <w:sz w:val="22"/>
                <w:u w:val="single"/>
              </w:rPr>
            </w:pPr>
          </w:p>
        </w:tc>
        <w:tc>
          <w:tcPr>
            <w:tcW w:w="0" w:type="auto"/>
            <w:noWrap/>
            <w:hideMark/>
          </w:tcPr>
          <w:p w14:paraId="00CE841B" w14:textId="236849E1" w:rsidR="00E122E7" w:rsidRPr="00E00C79" w:rsidRDefault="00E122E7" w:rsidP="009B6C52">
            <w:pPr>
              <w:jc w:val="center"/>
              <w:rPr>
                <w:b/>
                <w:bCs/>
                <w:sz w:val="22"/>
              </w:rPr>
            </w:pPr>
            <w:r>
              <w:rPr>
                <w:b/>
                <w:bCs/>
                <w:sz w:val="22"/>
              </w:rPr>
              <w:t>2026/27</w:t>
            </w:r>
          </w:p>
        </w:tc>
        <w:tc>
          <w:tcPr>
            <w:tcW w:w="0" w:type="auto"/>
            <w:noWrap/>
            <w:hideMark/>
          </w:tcPr>
          <w:p w14:paraId="0DAEB0D1" w14:textId="6F9BB0A5" w:rsidR="00E122E7" w:rsidRPr="00E00C79" w:rsidRDefault="00E122E7" w:rsidP="009B6C52">
            <w:pPr>
              <w:jc w:val="center"/>
              <w:rPr>
                <w:b/>
                <w:bCs/>
                <w:sz w:val="22"/>
              </w:rPr>
            </w:pPr>
            <w:r>
              <w:rPr>
                <w:b/>
                <w:bCs/>
                <w:sz w:val="22"/>
              </w:rPr>
              <w:t>2027/28</w:t>
            </w:r>
          </w:p>
        </w:tc>
        <w:tc>
          <w:tcPr>
            <w:tcW w:w="0" w:type="auto"/>
          </w:tcPr>
          <w:p w14:paraId="19CEAE1F" w14:textId="524988EB" w:rsidR="00E122E7" w:rsidRPr="00E00C79" w:rsidRDefault="00E122E7" w:rsidP="009B6C52">
            <w:pPr>
              <w:jc w:val="center"/>
              <w:rPr>
                <w:b/>
                <w:bCs/>
                <w:sz w:val="22"/>
              </w:rPr>
            </w:pPr>
            <w:r>
              <w:rPr>
                <w:b/>
                <w:bCs/>
                <w:sz w:val="22"/>
              </w:rPr>
              <w:t>2028/29</w:t>
            </w:r>
          </w:p>
        </w:tc>
      </w:tr>
      <w:tr w:rsidR="00E122E7" w:rsidRPr="00E00C79" w14:paraId="10E7C39A" w14:textId="3D355A1D" w:rsidTr="00E122E7">
        <w:trPr>
          <w:trHeight w:val="107"/>
          <w:jc w:val="center"/>
        </w:trPr>
        <w:tc>
          <w:tcPr>
            <w:tcW w:w="0" w:type="auto"/>
            <w:noWrap/>
            <w:hideMark/>
          </w:tcPr>
          <w:p w14:paraId="07BF9B4E" w14:textId="77777777" w:rsidR="00E122E7" w:rsidRPr="00E00C79" w:rsidRDefault="00E122E7" w:rsidP="009B6C52">
            <w:pPr>
              <w:jc w:val="left"/>
              <w:rPr>
                <w:b/>
                <w:bCs/>
                <w:sz w:val="22"/>
              </w:rPr>
            </w:pPr>
          </w:p>
        </w:tc>
        <w:tc>
          <w:tcPr>
            <w:tcW w:w="0" w:type="auto"/>
            <w:noWrap/>
            <w:hideMark/>
          </w:tcPr>
          <w:p w14:paraId="4033DE54" w14:textId="77777777" w:rsidR="00E122E7" w:rsidRPr="00E00C79" w:rsidRDefault="00E122E7" w:rsidP="009B6C52">
            <w:pPr>
              <w:jc w:val="center"/>
              <w:rPr>
                <w:b/>
                <w:bCs/>
                <w:sz w:val="22"/>
              </w:rPr>
            </w:pPr>
            <w:r w:rsidRPr="00E00C79">
              <w:rPr>
                <w:b/>
                <w:bCs/>
                <w:sz w:val="22"/>
              </w:rPr>
              <w:t>£m</w:t>
            </w:r>
          </w:p>
        </w:tc>
        <w:tc>
          <w:tcPr>
            <w:tcW w:w="0" w:type="auto"/>
            <w:noWrap/>
            <w:hideMark/>
          </w:tcPr>
          <w:p w14:paraId="20E51F20" w14:textId="77777777" w:rsidR="00E122E7" w:rsidRPr="00E00C79" w:rsidRDefault="00E122E7" w:rsidP="009B6C52">
            <w:pPr>
              <w:jc w:val="center"/>
              <w:rPr>
                <w:b/>
                <w:bCs/>
                <w:sz w:val="22"/>
              </w:rPr>
            </w:pPr>
            <w:r w:rsidRPr="00E00C79">
              <w:rPr>
                <w:b/>
                <w:bCs/>
                <w:sz w:val="22"/>
              </w:rPr>
              <w:t>£m</w:t>
            </w:r>
          </w:p>
        </w:tc>
        <w:tc>
          <w:tcPr>
            <w:tcW w:w="0" w:type="auto"/>
          </w:tcPr>
          <w:p w14:paraId="32F18FEA" w14:textId="60C60B36" w:rsidR="00E122E7" w:rsidRPr="00E00C79" w:rsidRDefault="00E122E7" w:rsidP="009B6C52">
            <w:pPr>
              <w:jc w:val="center"/>
              <w:rPr>
                <w:b/>
                <w:bCs/>
                <w:sz w:val="22"/>
              </w:rPr>
            </w:pPr>
            <w:r w:rsidRPr="00E00C79">
              <w:rPr>
                <w:b/>
                <w:bCs/>
                <w:sz w:val="22"/>
              </w:rPr>
              <w:t>£m</w:t>
            </w:r>
          </w:p>
        </w:tc>
      </w:tr>
      <w:tr w:rsidR="00E122E7" w:rsidRPr="00E00C79" w14:paraId="661EF934" w14:textId="172FFC22" w:rsidTr="00E122E7">
        <w:trPr>
          <w:trHeight w:val="300"/>
          <w:jc w:val="center"/>
        </w:trPr>
        <w:tc>
          <w:tcPr>
            <w:tcW w:w="0" w:type="auto"/>
            <w:noWrap/>
            <w:hideMark/>
          </w:tcPr>
          <w:p w14:paraId="2647AE88" w14:textId="77777777" w:rsidR="00E122E7" w:rsidRPr="00E00C79" w:rsidRDefault="00E122E7" w:rsidP="009B6C52">
            <w:pPr>
              <w:rPr>
                <w:sz w:val="22"/>
              </w:rPr>
            </w:pPr>
            <w:r w:rsidRPr="00E00C79">
              <w:rPr>
                <w:sz w:val="22"/>
              </w:rPr>
              <w:t>Budget brought forward</w:t>
            </w:r>
          </w:p>
        </w:tc>
        <w:tc>
          <w:tcPr>
            <w:tcW w:w="0" w:type="auto"/>
            <w:noWrap/>
            <w:vAlign w:val="center"/>
            <w:hideMark/>
          </w:tcPr>
          <w:p w14:paraId="2FBC9A2A" w14:textId="032F56A1" w:rsidR="00E122E7" w:rsidRPr="00E00C79" w:rsidRDefault="00E122E7" w:rsidP="009B6C52">
            <w:pPr>
              <w:jc w:val="right"/>
              <w:rPr>
                <w:sz w:val="22"/>
              </w:rPr>
            </w:pPr>
            <w:r>
              <w:rPr>
                <w:sz w:val="22"/>
              </w:rPr>
              <w:t>424.764</w:t>
            </w:r>
          </w:p>
        </w:tc>
        <w:tc>
          <w:tcPr>
            <w:tcW w:w="0" w:type="auto"/>
            <w:noWrap/>
            <w:vAlign w:val="center"/>
            <w:hideMark/>
          </w:tcPr>
          <w:p w14:paraId="71730F4D" w14:textId="5515D4E2" w:rsidR="00E122E7" w:rsidRPr="00E00C79" w:rsidRDefault="00E122E7" w:rsidP="009B6C52">
            <w:pPr>
              <w:jc w:val="right"/>
              <w:rPr>
                <w:sz w:val="22"/>
              </w:rPr>
            </w:pPr>
            <w:r>
              <w:rPr>
                <w:sz w:val="22"/>
              </w:rPr>
              <w:t>442.636</w:t>
            </w:r>
          </w:p>
        </w:tc>
        <w:tc>
          <w:tcPr>
            <w:tcW w:w="0" w:type="auto"/>
            <w:vAlign w:val="center"/>
          </w:tcPr>
          <w:p w14:paraId="1E236FCD" w14:textId="6CE67B64" w:rsidR="00E122E7" w:rsidRPr="00E00C79" w:rsidRDefault="00E122E7" w:rsidP="009B6C52">
            <w:pPr>
              <w:jc w:val="right"/>
              <w:rPr>
                <w:sz w:val="22"/>
              </w:rPr>
            </w:pPr>
            <w:r>
              <w:rPr>
                <w:sz w:val="22"/>
              </w:rPr>
              <w:t>455.760</w:t>
            </w:r>
          </w:p>
        </w:tc>
      </w:tr>
      <w:tr w:rsidR="00E122E7" w:rsidRPr="00E00C79" w14:paraId="3BA5385D" w14:textId="3E60C4F1" w:rsidTr="00E122E7">
        <w:trPr>
          <w:trHeight w:val="300"/>
          <w:jc w:val="center"/>
        </w:trPr>
        <w:tc>
          <w:tcPr>
            <w:tcW w:w="0" w:type="auto"/>
            <w:noWrap/>
          </w:tcPr>
          <w:p w14:paraId="4D4B2006" w14:textId="77777777" w:rsidR="00E122E7" w:rsidRPr="00E00C79" w:rsidRDefault="00E122E7" w:rsidP="009B6C52">
            <w:pPr>
              <w:rPr>
                <w:sz w:val="22"/>
              </w:rPr>
            </w:pPr>
            <w:r w:rsidRPr="00E00C79">
              <w:rPr>
                <w:sz w:val="22"/>
              </w:rPr>
              <w:t>Further cost pressures</w:t>
            </w:r>
          </w:p>
        </w:tc>
        <w:tc>
          <w:tcPr>
            <w:tcW w:w="0" w:type="auto"/>
            <w:noWrap/>
            <w:vAlign w:val="center"/>
          </w:tcPr>
          <w:p w14:paraId="006A8E85" w14:textId="3399A464" w:rsidR="00E122E7" w:rsidRPr="00E00C79" w:rsidRDefault="00E122E7" w:rsidP="009B6C52">
            <w:pPr>
              <w:jc w:val="right"/>
              <w:rPr>
                <w:sz w:val="22"/>
              </w:rPr>
            </w:pPr>
            <w:r>
              <w:rPr>
                <w:sz w:val="22"/>
              </w:rPr>
              <w:t>27.514</w:t>
            </w:r>
          </w:p>
        </w:tc>
        <w:tc>
          <w:tcPr>
            <w:tcW w:w="0" w:type="auto"/>
            <w:noWrap/>
            <w:vAlign w:val="center"/>
          </w:tcPr>
          <w:p w14:paraId="12EA254A" w14:textId="31B803C2" w:rsidR="00E122E7" w:rsidRPr="00E00C79" w:rsidRDefault="00E122E7" w:rsidP="009B6C52">
            <w:pPr>
              <w:jc w:val="right"/>
              <w:rPr>
                <w:sz w:val="22"/>
              </w:rPr>
            </w:pPr>
            <w:r>
              <w:rPr>
                <w:sz w:val="22"/>
              </w:rPr>
              <w:t>19.905</w:t>
            </w:r>
          </w:p>
        </w:tc>
        <w:tc>
          <w:tcPr>
            <w:tcW w:w="0" w:type="auto"/>
            <w:vAlign w:val="center"/>
          </w:tcPr>
          <w:p w14:paraId="12A09F4B" w14:textId="73A78BF4" w:rsidR="00E122E7" w:rsidRPr="00E00C79" w:rsidRDefault="00E122E7" w:rsidP="009B6C52">
            <w:pPr>
              <w:jc w:val="right"/>
              <w:rPr>
                <w:sz w:val="22"/>
              </w:rPr>
            </w:pPr>
            <w:r>
              <w:rPr>
                <w:sz w:val="22"/>
              </w:rPr>
              <w:t>19.384</w:t>
            </w:r>
          </w:p>
        </w:tc>
      </w:tr>
      <w:tr w:rsidR="00E122E7" w:rsidRPr="00E00C79" w14:paraId="0944001D" w14:textId="6634F8E5" w:rsidTr="00E122E7">
        <w:trPr>
          <w:trHeight w:val="300"/>
          <w:jc w:val="center"/>
        </w:trPr>
        <w:tc>
          <w:tcPr>
            <w:tcW w:w="0" w:type="auto"/>
            <w:noWrap/>
            <w:hideMark/>
          </w:tcPr>
          <w:p w14:paraId="4C701AC5" w14:textId="77777777" w:rsidR="00E122E7" w:rsidRPr="00E00C79" w:rsidRDefault="00E122E7" w:rsidP="009B6C52">
            <w:pPr>
              <w:rPr>
                <w:sz w:val="22"/>
              </w:rPr>
            </w:pPr>
            <w:r w:rsidRPr="00E00C79">
              <w:rPr>
                <w:sz w:val="22"/>
              </w:rPr>
              <w:t>Savings</w:t>
            </w:r>
          </w:p>
        </w:tc>
        <w:tc>
          <w:tcPr>
            <w:tcW w:w="0" w:type="auto"/>
            <w:noWrap/>
            <w:vAlign w:val="center"/>
            <w:hideMark/>
          </w:tcPr>
          <w:p w14:paraId="6EE5CA91" w14:textId="6D0B9000" w:rsidR="00E122E7" w:rsidRPr="00E00C79" w:rsidRDefault="00E122E7" w:rsidP="009B6C52">
            <w:pPr>
              <w:jc w:val="right"/>
              <w:rPr>
                <w:sz w:val="22"/>
              </w:rPr>
            </w:pPr>
            <w:r>
              <w:rPr>
                <w:sz w:val="22"/>
              </w:rPr>
              <w:t>-9.642</w:t>
            </w:r>
          </w:p>
        </w:tc>
        <w:tc>
          <w:tcPr>
            <w:tcW w:w="0" w:type="auto"/>
            <w:noWrap/>
            <w:vAlign w:val="center"/>
            <w:hideMark/>
          </w:tcPr>
          <w:p w14:paraId="0099043B" w14:textId="018DF566" w:rsidR="00E122E7" w:rsidRPr="00E00C79" w:rsidRDefault="00E122E7" w:rsidP="009B6C52">
            <w:pPr>
              <w:jc w:val="right"/>
              <w:rPr>
                <w:sz w:val="22"/>
              </w:rPr>
            </w:pPr>
            <w:r>
              <w:rPr>
                <w:sz w:val="22"/>
              </w:rPr>
              <w:t>-0.727</w:t>
            </w:r>
          </w:p>
        </w:tc>
        <w:tc>
          <w:tcPr>
            <w:tcW w:w="0" w:type="auto"/>
            <w:vAlign w:val="center"/>
          </w:tcPr>
          <w:p w14:paraId="581FC4B0" w14:textId="7BF7DE25" w:rsidR="00E122E7" w:rsidRPr="00E00C79" w:rsidRDefault="00E122E7" w:rsidP="009B6C52">
            <w:pPr>
              <w:jc w:val="right"/>
              <w:rPr>
                <w:sz w:val="22"/>
              </w:rPr>
            </w:pPr>
            <w:r>
              <w:rPr>
                <w:sz w:val="22"/>
              </w:rPr>
              <w:t>-0.511</w:t>
            </w:r>
          </w:p>
        </w:tc>
      </w:tr>
      <w:tr w:rsidR="00E122E7" w:rsidRPr="00E00C79" w14:paraId="6A49BD8B" w14:textId="0F498532" w:rsidTr="00E122E7">
        <w:trPr>
          <w:trHeight w:val="488"/>
          <w:jc w:val="center"/>
        </w:trPr>
        <w:tc>
          <w:tcPr>
            <w:tcW w:w="0" w:type="auto"/>
            <w:noWrap/>
            <w:vAlign w:val="center"/>
          </w:tcPr>
          <w:p w14:paraId="4F81978E" w14:textId="77777777" w:rsidR="00E122E7" w:rsidRPr="00E00C79" w:rsidRDefault="00E122E7" w:rsidP="009B6C52">
            <w:pPr>
              <w:rPr>
                <w:b/>
                <w:bCs/>
                <w:sz w:val="22"/>
              </w:rPr>
            </w:pPr>
            <w:r w:rsidRPr="00E00C79">
              <w:rPr>
                <w:b/>
                <w:bCs/>
                <w:sz w:val="22"/>
              </w:rPr>
              <w:t>Spending requirement</w:t>
            </w:r>
          </w:p>
        </w:tc>
        <w:tc>
          <w:tcPr>
            <w:tcW w:w="0" w:type="auto"/>
            <w:noWrap/>
            <w:vAlign w:val="center"/>
          </w:tcPr>
          <w:p w14:paraId="4CF3AD1E" w14:textId="3BA898EB" w:rsidR="00E122E7" w:rsidRPr="00E00C79" w:rsidRDefault="00E122E7" w:rsidP="009B6C52">
            <w:pPr>
              <w:jc w:val="right"/>
              <w:rPr>
                <w:b/>
                <w:bCs/>
                <w:sz w:val="22"/>
              </w:rPr>
            </w:pPr>
            <w:r>
              <w:rPr>
                <w:b/>
                <w:bCs/>
                <w:sz w:val="22"/>
              </w:rPr>
              <w:fldChar w:fldCharType="begin"/>
            </w:r>
            <w:r>
              <w:rPr>
                <w:b/>
                <w:bCs/>
                <w:sz w:val="22"/>
              </w:rPr>
              <w:instrText xml:space="preserve"> =SUM(above) </w:instrText>
            </w:r>
            <w:r>
              <w:rPr>
                <w:b/>
                <w:bCs/>
                <w:sz w:val="22"/>
              </w:rPr>
              <w:fldChar w:fldCharType="separate"/>
            </w:r>
            <w:r>
              <w:rPr>
                <w:b/>
                <w:bCs/>
                <w:noProof/>
                <w:sz w:val="22"/>
              </w:rPr>
              <w:t>442.636</w:t>
            </w:r>
            <w:r>
              <w:rPr>
                <w:b/>
                <w:bCs/>
                <w:sz w:val="22"/>
              </w:rPr>
              <w:fldChar w:fldCharType="end"/>
            </w:r>
          </w:p>
        </w:tc>
        <w:tc>
          <w:tcPr>
            <w:tcW w:w="0" w:type="auto"/>
            <w:noWrap/>
            <w:vAlign w:val="center"/>
          </w:tcPr>
          <w:p w14:paraId="3B453D34" w14:textId="04A197B3" w:rsidR="00E122E7" w:rsidRPr="00E00C79" w:rsidRDefault="00E122E7" w:rsidP="009B6C52">
            <w:pPr>
              <w:jc w:val="right"/>
              <w:rPr>
                <w:b/>
                <w:bCs/>
                <w:sz w:val="22"/>
              </w:rPr>
            </w:pPr>
            <w:r>
              <w:rPr>
                <w:b/>
                <w:bCs/>
                <w:sz w:val="22"/>
              </w:rPr>
              <w:fldChar w:fldCharType="begin"/>
            </w:r>
            <w:r>
              <w:rPr>
                <w:b/>
                <w:bCs/>
                <w:sz w:val="22"/>
              </w:rPr>
              <w:instrText xml:space="preserve"> =SUM(ABOVE) </w:instrText>
            </w:r>
            <w:r>
              <w:rPr>
                <w:b/>
                <w:bCs/>
                <w:sz w:val="22"/>
              </w:rPr>
              <w:fldChar w:fldCharType="separate"/>
            </w:r>
            <w:r>
              <w:rPr>
                <w:b/>
                <w:bCs/>
                <w:noProof/>
                <w:sz w:val="22"/>
              </w:rPr>
              <w:t>461.814</w:t>
            </w:r>
            <w:r>
              <w:rPr>
                <w:b/>
                <w:bCs/>
                <w:sz w:val="22"/>
              </w:rPr>
              <w:fldChar w:fldCharType="end"/>
            </w:r>
          </w:p>
        </w:tc>
        <w:tc>
          <w:tcPr>
            <w:tcW w:w="0" w:type="auto"/>
            <w:vAlign w:val="center"/>
          </w:tcPr>
          <w:p w14:paraId="64A9DBBB" w14:textId="41F2BB05" w:rsidR="00E122E7" w:rsidRPr="00E00C79" w:rsidRDefault="00E122E7" w:rsidP="009B6C52">
            <w:pPr>
              <w:jc w:val="right"/>
              <w:rPr>
                <w:b/>
                <w:bCs/>
                <w:sz w:val="22"/>
              </w:rPr>
            </w:pPr>
            <w:r>
              <w:rPr>
                <w:b/>
                <w:bCs/>
                <w:sz w:val="22"/>
              </w:rPr>
              <w:fldChar w:fldCharType="begin"/>
            </w:r>
            <w:r>
              <w:rPr>
                <w:b/>
                <w:bCs/>
                <w:sz w:val="22"/>
              </w:rPr>
              <w:instrText xml:space="preserve"> =SUM(ABOVE) </w:instrText>
            </w:r>
            <w:r>
              <w:rPr>
                <w:b/>
                <w:bCs/>
                <w:sz w:val="22"/>
              </w:rPr>
              <w:fldChar w:fldCharType="separate"/>
            </w:r>
            <w:r>
              <w:rPr>
                <w:b/>
                <w:bCs/>
                <w:noProof/>
                <w:sz w:val="22"/>
              </w:rPr>
              <w:t>474.633</w:t>
            </w:r>
            <w:r>
              <w:rPr>
                <w:b/>
                <w:bCs/>
                <w:sz w:val="22"/>
              </w:rPr>
              <w:fldChar w:fldCharType="end"/>
            </w:r>
          </w:p>
        </w:tc>
      </w:tr>
      <w:tr w:rsidR="00E122E7" w:rsidRPr="00E00C79" w14:paraId="30964B56" w14:textId="71E573AE" w:rsidTr="00E122E7">
        <w:trPr>
          <w:trHeight w:val="70"/>
          <w:jc w:val="center"/>
        </w:trPr>
        <w:tc>
          <w:tcPr>
            <w:tcW w:w="0" w:type="auto"/>
            <w:noWrap/>
          </w:tcPr>
          <w:p w14:paraId="29F96C8B" w14:textId="77777777" w:rsidR="00E122E7" w:rsidRPr="00E00C79" w:rsidRDefault="00E122E7" w:rsidP="009B6C52">
            <w:pPr>
              <w:rPr>
                <w:sz w:val="22"/>
              </w:rPr>
            </w:pPr>
          </w:p>
        </w:tc>
        <w:tc>
          <w:tcPr>
            <w:tcW w:w="0" w:type="auto"/>
            <w:noWrap/>
            <w:vAlign w:val="center"/>
          </w:tcPr>
          <w:p w14:paraId="1F15AC75" w14:textId="77777777" w:rsidR="00E122E7" w:rsidRPr="00E00C79" w:rsidRDefault="00E122E7" w:rsidP="009B6C52">
            <w:pPr>
              <w:jc w:val="right"/>
              <w:rPr>
                <w:sz w:val="22"/>
              </w:rPr>
            </w:pPr>
          </w:p>
        </w:tc>
        <w:tc>
          <w:tcPr>
            <w:tcW w:w="0" w:type="auto"/>
            <w:noWrap/>
            <w:vAlign w:val="center"/>
          </w:tcPr>
          <w:p w14:paraId="1D85C9AA" w14:textId="77777777" w:rsidR="00E122E7" w:rsidRPr="00E00C79" w:rsidRDefault="00E122E7" w:rsidP="009B6C52">
            <w:pPr>
              <w:jc w:val="right"/>
              <w:rPr>
                <w:sz w:val="22"/>
              </w:rPr>
            </w:pPr>
          </w:p>
        </w:tc>
        <w:tc>
          <w:tcPr>
            <w:tcW w:w="0" w:type="auto"/>
            <w:vAlign w:val="center"/>
          </w:tcPr>
          <w:p w14:paraId="601AE8BD" w14:textId="77777777" w:rsidR="00E122E7" w:rsidRPr="00E00C79" w:rsidRDefault="00E122E7" w:rsidP="009B6C52">
            <w:pPr>
              <w:jc w:val="right"/>
              <w:rPr>
                <w:sz w:val="22"/>
              </w:rPr>
            </w:pPr>
          </w:p>
        </w:tc>
      </w:tr>
      <w:tr w:rsidR="00E122E7" w:rsidRPr="00E00C79" w14:paraId="43E61436" w14:textId="64F568D7" w:rsidTr="00E122E7">
        <w:trPr>
          <w:trHeight w:val="491"/>
          <w:jc w:val="center"/>
        </w:trPr>
        <w:tc>
          <w:tcPr>
            <w:tcW w:w="0" w:type="auto"/>
            <w:noWrap/>
            <w:vAlign w:val="center"/>
          </w:tcPr>
          <w:p w14:paraId="10D4EE26" w14:textId="77777777" w:rsidR="00E122E7" w:rsidRPr="00E00C79" w:rsidRDefault="00E122E7" w:rsidP="009B6C52">
            <w:pPr>
              <w:rPr>
                <w:b/>
                <w:bCs/>
                <w:sz w:val="22"/>
              </w:rPr>
            </w:pPr>
            <w:r w:rsidRPr="00E00C79">
              <w:rPr>
                <w:b/>
                <w:bCs/>
                <w:sz w:val="22"/>
              </w:rPr>
              <w:t>Resources</w:t>
            </w:r>
          </w:p>
        </w:tc>
        <w:tc>
          <w:tcPr>
            <w:tcW w:w="0" w:type="auto"/>
            <w:noWrap/>
            <w:vAlign w:val="center"/>
          </w:tcPr>
          <w:p w14:paraId="28AC0AB3" w14:textId="1591B04E" w:rsidR="00E122E7" w:rsidRPr="00E00C79" w:rsidRDefault="00E122E7" w:rsidP="009B6C52">
            <w:pPr>
              <w:jc w:val="right"/>
              <w:rPr>
                <w:b/>
                <w:bCs/>
                <w:sz w:val="22"/>
              </w:rPr>
            </w:pPr>
            <w:r>
              <w:rPr>
                <w:b/>
                <w:bCs/>
                <w:sz w:val="22"/>
              </w:rPr>
              <w:t>442.636</w:t>
            </w:r>
          </w:p>
        </w:tc>
        <w:tc>
          <w:tcPr>
            <w:tcW w:w="0" w:type="auto"/>
            <w:noWrap/>
            <w:vAlign w:val="center"/>
          </w:tcPr>
          <w:p w14:paraId="6B234A4B" w14:textId="3635E763" w:rsidR="00E122E7" w:rsidRPr="00E00C79" w:rsidRDefault="00E122E7" w:rsidP="009B6C52">
            <w:pPr>
              <w:jc w:val="right"/>
              <w:rPr>
                <w:b/>
                <w:bCs/>
                <w:sz w:val="22"/>
              </w:rPr>
            </w:pPr>
            <w:r>
              <w:rPr>
                <w:b/>
                <w:bCs/>
                <w:sz w:val="22"/>
              </w:rPr>
              <w:t>455.760</w:t>
            </w:r>
          </w:p>
        </w:tc>
        <w:tc>
          <w:tcPr>
            <w:tcW w:w="0" w:type="auto"/>
            <w:vAlign w:val="center"/>
          </w:tcPr>
          <w:p w14:paraId="7FD1667F" w14:textId="48C73D62" w:rsidR="00E122E7" w:rsidRPr="00E00C79" w:rsidRDefault="00E122E7" w:rsidP="009B6C52">
            <w:pPr>
              <w:jc w:val="right"/>
              <w:rPr>
                <w:b/>
                <w:bCs/>
                <w:sz w:val="22"/>
              </w:rPr>
            </w:pPr>
            <w:r>
              <w:rPr>
                <w:b/>
                <w:bCs/>
                <w:sz w:val="22"/>
              </w:rPr>
              <w:t>470.165</w:t>
            </w:r>
          </w:p>
        </w:tc>
      </w:tr>
      <w:tr w:rsidR="00E122E7" w:rsidRPr="00E00C79" w14:paraId="665F29DF" w14:textId="37617582" w:rsidTr="00E122E7">
        <w:trPr>
          <w:trHeight w:val="70"/>
          <w:jc w:val="center"/>
        </w:trPr>
        <w:tc>
          <w:tcPr>
            <w:tcW w:w="0" w:type="auto"/>
            <w:noWrap/>
            <w:vAlign w:val="center"/>
          </w:tcPr>
          <w:p w14:paraId="6CA223EC" w14:textId="77777777" w:rsidR="00E122E7" w:rsidRPr="00E00C79" w:rsidRDefault="00E122E7" w:rsidP="009B6C52">
            <w:pPr>
              <w:rPr>
                <w:sz w:val="22"/>
              </w:rPr>
            </w:pPr>
          </w:p>
        </w:tc>
        <w:tc>
          <w:tcPr>
            <w:tcW w:w="0" w:type="auto"/>
            <w:noWrap/>
            <w:vAlign w:val="center"/>
          </w:tcPr>
          <w:p w14:paraId="41961C52" w14:textId="77777777" w:rsidR="00E122E7" w:rsidRPr="00E00C79" w:rsidRDefault="00E122E7" w:rsidP="009B6C52">
            <w:pPr>
              <w:jc w:val="right"/>
              <w:rPr>
                <w:sz w:val="22"/>
              </w:rPr>
            </w:pPr>
          </w:p>
        </w:tc>
        <w:tc>
          <w:tcPr>
            <w:tcW w:w="0" w:type="auto"/>
            <w:noWrap/>
            <w:vAlign w:val="center"/>
          </w:tcPr>
          <w:p w14:paraId="36C95F70" w14:textId="77777777" w:rsidR="00E122E7" w:rsidRPr="00E00C79" w:rsidRDefault="00E122E7" w:rsidP="009B6C52">
            <w:pPr>
              <w:jc w:val="right"/>
              <w:rPr>
                <w:sz w:val="22"/>
              </w:rPr>
            </w:pPr>
          </w:p>
        </w:tc>
        <w:tc>
          <w:tcPr>
            <w:tcW w:w="0" w:type="auto"/>
            <w:vAlign w:val="center"/>
          </w:tcPr>
          <w:p w14:paraId="4430DE86" w14:textId="77777777" w:rsidR="00E122E7" w:rsidRPr="00E00C79" w:rsidRDefault="00E122E7" w:rsidP="009B6C52">
            <w:pPr>
              <w:jc w:val="right"/>
              <w:rPr>
                <w:sz w:val="22"/>
              </w:rPr>
            </w:pPr>
          </w:p>
        </w:tc>
      </w:tr>
      <w:tr w:rsidR="00E122E7" w:rsidRPr="00E00C79" w14:paraId="21346974" w14:textId="79529E60" w:rsidTr="00E122E7">
        <w:trPr>
          <w:trHeight w:val="491"/>
          <w:jc w:val="center"/>
        </w:trPr>
        <w:tc>
          <w:tcPr>
            <w:tcW w:w="0" w:type="auto"/>
            <w:shd w:val="clear" w:color="auto" w:fill="B4C6E7" w:themeFill="accent5" w:themeFillTint="66"/>
            <w:noWrap/>
            <w:vAlign w:val="center"/>
          </w:tcPr>
          <w:p w14:paraId="6BD63636" w14:textId="77777777" w:rsidR="00E122E7" w:rsidRPr="00E00C79" w:rsidRDefault="00E122E7" w:rsidP="009B6C52">
            <w:pPr>
              <w:rPr>
                <w:b/>
                <w:bCs/>
                <w:sz w:val="22"/>
              </w:rPr>
            </w:pPr>
            <w:r w:rsidRPr="00E00C79">
              <w:rPr>
                <w:b/>
                <w:bCs/>
                <w:sz w:val="22"/>
              </w:rPr>
              <w:t>Funding gap</w:t>
            </w:r>
          </w:p>
        </w:tc>
        <w:tc>
          <w:tcPr>
            <w:tcW w:w="0" w:type="auto"/>
            <w:shd w:val="clear" w:color="auto" w:fill="B4C6E7" w:themeFill="accent5" w:themeFillTint="66"/>
            <w:noWrap/>
            <w:vAlign w:val="center"/>
          </w:tcPr>
          <w:p w14:paraId="2CE99B13" w14:textId="4B061E0C" w:rsidR="00E122E7" w:rsidRPr="00E00C79" w:rsidRDefault="00E122E7" w:rsidP="009B6C52">
            <w:pPr>
              <w:jc w:val="right"/>
              <w:rPr>
                <w:b/>
                <w:bCs/>
                <w:sz w:val="22"/>
              </w:rPr>
            </w:pPr>
            <w:r>
              <w:rPr>
                <w:b/>
                <w:bCs/>
                <w:sz w:val="22"/>
              </w:rPr>
              <w:t>0</w:t>
            </w:r>
          </w:p>
        </w:tc>
        <w:tc>
          <w:tcPr>
            <w:tcW w:w="0" w:type="auto"/>
            <w:shd w:val="clear" w:color="auto" w:fill="B4C6E7" w:themeFill="accent5" w:themeFillTint="66"/>
            <w:noWrap/>
            <w:vAlign w:val="center"/>
          </w:tcPr>
          <w:p w14:paraId="18EEEE30" w14:textId="24284C08" w:rsidR="00E122E7" w:rsidRPr="00E00C79" w:rsidRDefault="00E122E7" w:rsidP="009B6C52">
            <w:pPr>
              <w:jc w:val="right"/>
              <w:rPr>
                <w:b/>
                <w:bCs/>
                <w:sz w:val="22"/>
              </w:rPr>
            </w:pPr>
            <w:r>
              <w:rPr>
                <w:b/>
                <w:bCs/>
                <w:sz w:val="22"/>
              </w:rPr>
              <w:t>6.054</w:t>
            </w:r>
          </w:p>
        </w:tc>
        <w:tc>
          <w:tcPr>
            <w:tcW w:w="0" w:type="auto"/>
            <w:shd w:val="clear" w:color="auto" w:fill="B4C6E7" w:themeFill="accent5" w:themeFillTint="66"/>
            <w:vAlign w:val="center"/>
          </w:tcPr>
          <w:p w14:paraId="1C5E8515" w14:textId="234F8C66" w:rsidR="00E122E7" w:rsidRPr="00E00C79" w:rsidRDefault="00E122E7" w:rsidP="009B6C52">
            <w:pPr>
              <w:jc w:val="right"/>
              <w:rPr>
                <w:b/>
                <w:bCs/>
                <w:sz w:val="22"/>
              </w:rPr>
            </w:pPr>
            <w:r>
              <w:rPr>
                <w:b/>
                <w:bCs/>
                <w:sz w:val="22"/>
              </w:rPr>
              <w:t>4.469</w:t>
            </w:r>
          </w:p>
        </w:tc>
      </w:tr>
    </w:tbl>
    <w:p w14:paraId="72BE3B96" w14:textId="77777777" w:rsidR="00E00C79" w:rsidRPr="00E00C79" w:rsidRDefault="00E00C79" w:rsidP="00E00C79">
      <w:pPr>
        <w:rPr>
          <w:bCs/>
          <w:sz w:val="22"/>
        </w:rPr>
      </w:pPr>
    </w:p>
    <w:p w14:paraId="0700EF65" w14:textId="7723F80F" w:rsidR="00E00C79" w:rsidRPr="00E00C79" w:rsidRDefault="00E00C79" w:rsidP="009B6C52">
      <w:pPr>
        <w:pStyle w:val="ListParagraph"/>
        <w:numPr>
          <w:ilvl w:val="2"/>
          <w:numId w:val="3"/>
        </w:numPr>
        <w:spacing w:after="120"/>
        <w:contextualSpacing w:val="0"/>
        <w:rPr>
          <w:szCs w:val="22"/>
        </w:rPr>
      </w:pPr>
      <w:r w:rsidRPr="00E00C79">
        <w:rPr>
          <w:szCs w:val="22"/>
        </w:rPr>
        <w:t>This gives a total funding gap of £</w:t>
      </w:r>
      <w:r w:rsidR="0029414B">
        <w:rPr>
          <w:szCs w:val="22"/>
        </w:rPr>
        <w:t>1</w:t>
      </w:r>
      <w:r w:rsidR="00E122E7">
        <w:rPr>
          <w:szCs w:val="22"/>
        </w:rPr>
        <w:t>0.522</w:t>
      </w:r>
      <w:r w:rsidR="009B6C52">
        <w:rPr>
          <w:szCs w:val="22"/>
        </w:rPr>
        <w:t>m</w:t>
      </w:r>
      <w:r w:rsidRPr="00E00C79">
        <w:rPr>
          <w:szCs w:val="22"/>
        </w:rPr>
        <w:t xml:space="preserve"> over the current MTFS period. The PCC and Chief Constable will continue to develop savings options to meet the gap in future years.</w:t>
      </w:r>
    </w:p>
    <w:p w14:paraId="7FECD51B" w14:textId="799BFFAE" w:rsidR="004862DA" w:rsidRDefault="004862DA">
      <w:pPr>
        <w:rPr>
          <w:rFonts w:cs="Times New Roman"/>
          <w:sz w:val="22"/>
          <w:szCs w:val="24"/>
        </w:rPr>
      </w:pPr>
    </w:p>
    <w:p w14:paraId="70ACB68F" w14:textId="77777777" w:rsidR="008C51BD" w:rsidRDefault="008C51BD">
      <w:pPr>
        <w:rPr>
          <w:rFonts w:cs="Times New Roman"/>
          <w:sz w:val="22"/>
          <w:szCs w:val="24"/>
        </w:rPr>
      </w:pPr>
    </w:p>
    <w:p w14:paraId="25E2478C" w14:textId="1E74BFBF" w:rsidR="004862DA" w:rsidRPr="008366B4" w:rsidRDefault="004862DA" w:rsidP="00B03D05">
      <w:pPr>
        <w:pStyle w:val="ListParagraph"/>
        <w:numPr>
          <w:ilvl w:val="0"/>
          <w:numId w:val="3"/>
        </w:numPr>
        <w:spacing w:after="240"/>
        <w:ind w:left="357" w:hanging="357"/>
        <w:contextualSpacing w:val="0"/>
        <w:rPr>
          <w:b/>
          <w:bCs/>
        </w:rPr>
      </w:pPr>
      <w:r w:rsidRPr="008366B4">
        <w:rPr>
          <w:b/>
          <w:bCs/>
        </w:rPr>
        <w:t>Looking ahead</w:t>
      </w:r>
    </w:p>
    <w:p w14:paraId="73AC83D4" w14:textId="77777777" w:rsidR="008C51BD" w:rsidRPr="008C51BD" w:rsidRDefault="008C51BD" w:rsidP="008C51BD">
      <w:pPr>
        <w:numPr>
          <w:ilvl w:val="1"/>
          <w:numId w:val="3"/>
        </w:numPr>
        <w:spacing w:after="120"/>
        <w:jc w:val="both"/>
        <w:rPr>
          <w:rFonts w:cs="Arial"/>
          <w:bCs/>
          <w:sz w:val="22"/>
        </w:rPr>
      </w:pPr>
      <w:r w:rsidRPr="008C51BD">
        <w:rPr>
          <w:rFonts w:cs="Arial"/>
          <w:bCs/>
          <w:sz w:val="22"/>
        </w:rPr>
        <w:t xml:space="preserve">In addition to the changes to the forecast shown above there are further issues that could affect the PCC budget in future years. These are difficult to predict in respect of likelihood and level. It is important however to recognise that there is a risk that further pressure could emerge for the budget and that the strategy that is developed is able to meet these challenges if they are realised. </w:t>
      </w:r>
    </w:p>
    <w:p w14:paraId="3C4A44C4" w14:textId="77777777" w:rsidR="008C51BD" w:rsidRPr="008C51BD" w:rsidRDefault="008C51BD" w:rsidP="008C51BD">
      <w:pPr>
        <w:numPr>
          <w:ilvl w:val="1"/>
          <w:numId w:val="3"/>
        </w:numPr>
        <w:spacing w:after="120"/>
        <w:jc w:val="both"/>
        <w:rPr>
          <w:rFonts w:cs="Arial"/>
          <w:bCs/>
          <w:sz w:val="22"/>
        </w:rPr>
      </w:pPr>
      <w:r w:rsidRPr="008C51BD">
        <w:rPr>
          <w:rFonts w:cs="Arial"/>
          <w:bCs/>
          <w:sz w:val="22"/>
        </w:rPr>
        <w:lastRenderedPageBreak/>
        <w:t>Inflation and pay award</w:t>
      </w:r>
    </w:p>
    <w:p w14:paraId="083CEAA6" w14:textId="14CEDA4E" w:rsidR="008C51BD" w:rsidRPr="008C51BD" w:rsidRDefault="00E122E7" w:rsidP="008C51BD">
      <w:pPr>
        <w:numPr>
          <w:ilvl w:val="2"/>
          <w:numId w:val="3"/>
        </w:numPr>
        <w:spacing w:after="120"/>
        <w:rPr>
          <w:rFonts w:cs="Arial"/>
          <w:sz w:val="22"/>
        </w:rPr>
      </w:pPr>
      <w:r>
        <w:rPr>
          <w:rFonts w:cs="Arial"/>
          <w:sz w:val="22"/>
        </w:rPr>
        <w:t>Whilst</w:t>
      </w:r>
      <w:r w:rsidR="008C51BD" w:rsidRPr="008C51BD">
        <w:rPr>
          <w:rFonts w:cs="Arial"/>
          <w:sz w:val="22"/>
        </w:rPr>
        <w:t xml:space="preserve"> </w:t>
      </w:r>
      <w:r w:rsidRPr="00E122E7">
        <w:rPr>
          <w:rFonts w:cs="Arial"/>
          <w:sz w:val="22"/>
        </w:rPr>
        <w:t>the 'general' rate of inflation is forecast to be relatively stable in the short to medium term there remain some areas of cost that are subject to significant fluctuations, in particular fuel, building materials, insurance and energy.</w:t>
      </w:r>
    </w:p>
    <w:p w14:paraId="240294CF" w14:textId="77777777" w:rsidR="008C51BD" w:rsidRPr="008C51BD" w:rsidRDefault="008C51BD" w:rsidP="008C51BD">
      <w:pPr>
        <w:numPr>
          <w:ilvl w:val="2"/>
          <w:numId w:val="3"/>
        </w:numPr>
        <w:spacing w:after="120"/>
        <w:rPr>
          <w:rFonts w:cs="Arial"/>
          <w:sz w:val="22"/>
        </w:rPr>
      </w:pPr>
      <w:r w:rsidRPr="008C51BD">
        <w:rPr>
          <w:rFonts w:cs="Arial"/>
          <w:sz w:val="22"/>
        </w:rPr>
        <w:t>In turn it is expected that this pressure will impact upon the level of pay award made to police officers and staff which will directly affect the PCC budget in future years.</w:t>
      </w:r>
    </w:p>
    <w:p w14:paraId="12138D03" w14:textId="50E17B8F" w:rsidR="008C51BD" w:rsidRPr="008C51BD" w:rsidRDefault="008C51BD" w:rsidP="008C51BD">
      <w:pPr>
        <w:numPr>
          <w:ilvl w:val="2"/>
          <w:numId w:val="3"/>
        </w:numPr>
        <w:spacing w:after="120"/>
        <w:rPr>
          <w:rFonts w:cs="Arial"/>
          <w:sz w:val="22"/>
        </w:rPr>
      </w:pPr>
      <w:r w:rsidRPr="008C51BD">
        <w:rPr>
          <w:rFonts w:cs="Arial"/>
          <w:sz w:val="22"/>
        </w:rPr>
        <w:t>Every 1% increase in pay costs for Lancashire equates to increased budget requirement of approximately £3</w:t>
      </w:r>
      <w:r w:rsidR="00E122E7">
        <w:rPr>
          <w:rFonts w:cs="Arial"/>
          <w:sz w:val="22"/>
        </w:rPr>
        <w:t>.4</w:t>
      </w:r>
      <w:r w:rsidRPr="008C51BD">
        <w:rPr>
          <w:rFonts w:cs="Arial"/>
          <w:sz w:val="22"/>
        </w:rPr>
        <w:t>m.</w:t>
      </w:r>
    </w:p>
    <w:p w14:paraId="198B5743" w14:textId="77777777" w:rsidR="00E122E7" w:rsidRPr="00E122E7" w:rsidRDefault="00E122E7" w:rsidP="00E122E7">
      <w:pPr>
        <w:numPr>
          <w:ilvl w:val="1"/>
          <w:numId w:val="3"/>
        </w:numPr>
        <w:spacing w:after="120"/>
        <w:jc w:val="both"/>
        <w:rPr>
          <w:rFonts w:cs="Arial"/>
          <w:bCs/>
          <w:sz w:val="22"/>
        </w:rPr>
      </w:pPr>
      <w:r w:rsidRPr="00E122E7">
        <w:rPr>
          <w:rFonts w:cs="Arial"/>
          <w:bCs/>
          <w:sz w:val="22"/>
        </w:rPr>
        <w:t>Police and Police Governance reform</w:t>
      </w:r>
    </w:p>
    <w:p w14:paraId="119F58E5" w14:textId="77777777" w:rsidR="00E122E7" w:rsidRDefault="00E122E7" w:rsidP="00E122E7">
      <w:pPr>
        <w:numPr>
          <w:ilvl w:val="2"/>
          <w:numId w:val="3"/>
        </w:numPr>
        <w:spacing w:after="240" w:line="259" w:lineRule="auto"/>
        <w:jc w:val="both"/>
        <w:rPr>
          <w:rFonts w:cs="Arial"/>
          <w:bCs/>
          <w:sz w:val="22"/>
        </w:rPr>
      </w:pPr>
      <w:r w:rsidRPr="00AB0488">
        <w:rPr>
          <w:rFonts w:cs="Arial"/>
          <w:bCs/>
          <w:sz w:val="22"/>
        </w:rPr>
        <w:t xml:space="preserve">The government has </w:t>
      </w:r>
      <w:r>
        <w:rPr>
          <w:rFonts w:cs="Arial"/>
          <w:bCs/>
          <w:sz w:val="22"/>
        </w:rPr>
        <w:t>announced a review of how policing is delivered in England and Wales with several significant changes in the structure of police forces being considered.</w:t>
      </w:r>
    </w:p>
    <w:p w14:paraId="2921FB78" w14:textId="77777777" w:rsidR="00E122E7" w:rsidRDefault="00E122E7" w:rsidP="00E122E7">
      <w:pPr>
        <w:numPr>
          <w:ilvl w:val="2"/>
          <w:numId w:val="3"/>
        </w:numPr>
        <w:spacing w:after="240" w:line="259" w:lineRule="auto"/>
        <w:jc w:val="both"/>
        <w:rPr>
          <w:rFonts w:cs="Arial"/>
          <w:bCs/>
          <w:sz w:val="22"/>
        </w:rPr>
      </w:pPr>
      <w:r>
        <w:rPr>
          <w:rFonts w:cs="Arial"/>
          <w:bCs/>
          <w:sz w:val="22"/>
        </w:rPr>
        <w:t xml:space="preserve">They have also announced that Police and Crime Commissioners will not exist beyond May 2028 with their responsibilities either transferring to a </w:t>
      </w:r>
      <w:proofErr w:type="gramStart"/>
      <w:r>
        <w:rPr>
          <w:rFonts w:cs="Arial"/>
          <w:bCs/>
          <w:sz w:val="22"/>
        </w:rPr>
        <w:t>Mayor</w:t>
      </w:r>
      <w:proofErr w:type="gramEnd"/>
      <w:r>
        <w:rPr>
          <w:rFonts w:cs="Arial"/>
          <w:bCs/>
          <w:sz w:val="22"/>
        </w:rPr>
        <w:t xml:space="preserve"> or to a 'Police and Crime Board'.</w:t>
      </w:r>
    </w:p>
    <w:p w14:paraId="4B314D73" w14:textId="60C0866C" w:rsidR="008C51BD" w:rsidRPr="006A30ED" w:rsidRDefault="00E122E7" w:rsidP="006A30ED">
      <w:pPr>
        <w:numPr>
          <w:ilvl w:val="2"/>
          <w:numId w:val="3"/>
        </w:numPr>
        <w:spacing w:after="240" w:line="259" w:lineRule="auto"/>
        <w:jc w:val="both"/>
        <w:rPr>
          <w:rFonts w:cs="Arial"/>
          <w:bCs/>
          <w:sz w:val="22"/>
        </w:rPr>
      </w:pPr>
      <w:r>
        <w:rPr>
          <w:rFonts w:cs="Arial"/>
          <w:bCs/>
          <w:sz w:val="22"/>
        </w:rPr>
        <w:t xml:space="preserve">It is not known what implications these proposed change may have for the funding of the policing sector, and therefore for Lancashire Constabulary, but </w:t>
      </w:r>
      <w:proofErr w:type="gramStart"/>
      <w:r>
        <w:rPr>
          <w:rFonts w:cs="Arial"/>
          <w:bCs/>
          <w:sz w:val="22"/>
        </w:rPr>
        <w:t>it is clear that funding</w:t>
      </w:r>
      <w:proofErr w:type="gramEnd"/>
      <w:r>
        <w:rPr>
          <w:rFonts w:cs="Arial"/>
          <w:bCs/>
          <w:sz w:val="22"/>
        </w:rPr>
        <w:t xml:space="preserve"> will change to reflect whatever structures are put in place.</w:t>
      </w:r>
      <w:r w:rsidRPr="00AB0488">
        <w:rPr>
          <w:rFonts w:cs="Arial"/>
          <w:bCs/>
          <w:sz w:val="22"/>
        </w:rPr>
        <w:t xml:space="preserve"> </w:t>
      </w:r>
    </w:p>
    <w:p w14:paraId="3D750939" w14:textId="77777777" w:rsidR="008C51BD" w:rsidRPr="008C51BD" w:rsidRDefault="008C51BD" w:rsidP="008C51BD">
      <w:pPr>
        <w:numPr>
          <w:ilvl w:val="1"/>
          <w:numId w:val="3"/>
        </w:numPr>
        <w:spacing w:after="120"/>
        <w:jc w:val="both"/>
        <w:rPr>
          <w:rFonts w:cs="Arial"/>
          <w:bCs/>
          <w:sz w:val="22"/>
        </w:rPr>
      </w:pPr>
      <w:r w:rsidRPr="008C51BD">
        <w:rPr>
          <w:rFonts w:cs="Arial"/>
          <w:bCs/>
          <w:sz w:val="22"/>
        </w:rPr>
        <w:t xml:space="preserve">Emergency Services Network (ESN) - Replacement of Airwave </w:t>
      </w:r>
    </w:p>
    <w:p w14:paraId="0EA70431" w14:textId="1DF2B687" w:rsidR="006A30ED" w:rsidRPr="006A30ED" w:rsidRDefault="006A30ED" w:rsidP="006A30ED">
      <w:pPr>
        <w:numPr>
          <w:ilvl w:val="2"/>
          <w:numId w:val="3"/>
        </w:numPr>
        <w:spacing w:after="120"/>
        <w:rPr>
          <w:rFonts w:cs="Arial"/>
          <w:sz w:val="22"/>
        </w:rPr>
      </w:pPr>
      <w:r w:rsidRPr="006A30ED">
        <w:rPr>
          <w:rFonts w:cs="Arial"/>
          <w:sz w:val="22"/>
        </w:rPr>
        <w:t>The emergency services communications network ‘Airwave’ replacement programme has already 'slipped' by several years. There is a financial consequence of a delay in moving over to the new system that is not yet clear.</w:t>
      </w:r>
    </w:p>
    <w:p w14:paraId="38588905" w14:textId="77777777" w:rsidR="006A30ED" w:rsidRPr="006A30ED" w:rsidRDefault="006A30ED" w:rsidP="006A30ED">
      <w:pPr>
        <w:numPr>
          <w:ilvl w:val="2"/>
          <w:numId w:val="3"/>
        </w:numPr>
        <w:spacing w:after="120"/>
        <w:rPr>
          <w:rFonts w:cs="Arial"/>
          <w:sz w:val="22"/>
        </w:rPr>
      </w:pPr>
      <w:r w:rsidRPr="006A30ED">
        <w:rPr>
          <w:rFonts w:cs="Arial"/>
          <w:sz w:val="22"/>
        </w:rPr>
        <w:t>There is also a capital requirement for the equipment that will be required to operate on the new system that will impact upon future years' capital investment programme. The financial impact of these is not yet fully known with estimated provision included in the draft capital programme based on best available information. When further information is received from the Home Office the financial forecast will be updated</w:t>
      </w:r>
    </w:p>
    <w:p w14:paraId="7B4A3D1E" w14:textId="378D47A7" w:rsidR="008C51BD" w:rsidRPr="008C51BD" w:rsidRDefault="008C51BD" w:rsidP="006A30ED">
      <w:pPr>
        <w:numPr>
          <w:ilvl w:val="2"/>
          <w:numId w:val="3"/>
        </w:numPr>
        <w:spacing w:after="120"/>
        <w:rPr>
          <w:rFonts w:cs="Arial"/>
          <w:bCs/>
          <w:sz w:val="22"/>
        </w:rPr>
      </w:pPr>
      <w:r w:rsidRPr="008C51BD">
        <w:rPr>
          <w:rFonts w:cs="Arial"/>
          <w:bCs/>
          <w:sz w:val="22"/>
        </w:rPr>
        <w:t>Impact of the Police Pensions Remedy</w:t>
      </w:r>
    </w:p>
    <w:p w14:paraId="6A17B403" w14:textId="77777777" w:rsidR="008C51BD" w:rsidRPr="008C51BD" w:rsidRDefault="008C51BD" w:rsidP="008C51BD">
      <w:pPr>
        <w:numPr>
          <w:ilvl w:val="2"/>
          <w:numId w:val="3"/>
        </w:numPr>
        <w:spacing w:after="120"/>
        <w:rPr>
          <w:rFonts w:cs="Arial"/>
          <w:sz w:val="22"/>
        </w:rPr>
      </w:pPr>
      <w:r w:rsidRPr="008C51BD">
        <w:rPr>
          <w:rFonts w:cs="Arial"/>
          <w:sz w:val="22"/>
        </w:rPr>
        <w:t>The Government introduced changes to public sector pensions and introduced revised pension arrangements for Police Officers in 2015. As part of the implementation a series of protection measures were put in place to protect those officers within 10 years of their normal retirement date.</w:t>
      </w:r>
    </w:p>
    <w:p w14:paraId="2A61CAB5" w14:textId="77777777" w:rsidR="008C51BD" w:rsidRPr="008C51BD" w:rsidRDefault="008C51BD" w:rsidP="008C51BD">
      <w:pPr>
        <w:numPr>
          <w:ilvl w:val="2"/>
          <w:numId w:val="3"/>
        </w:numPr>
        <w:spacing w:after="120"/>
        <w:rPr>
          <w:rFonts w:cs="Arial"/>
          <w:sz w:val="22"/>
        </w:rPr>
      </w:pPr>
      <w:r w:rsidRPr="008C51BD">
        <w:rPr>
          <w:rFonts w:cs="Arial"/>
          <w:sz w:val="22"/>
        </w:rPr>
        <w:t xml:space="preserve">This policy was successfully challenged in the Courts and was found to be discriminatory </w:t>
      </w:r>
      <w:proofErr w:type="gramStart"/>
      <w:r w:rsidRPr="008C51BD">
        <w:rPr>
          <w:rFonts w:cs="Arial"/>
          <w:sz w:val="22"/>
        </w:rPr>
        <w:t>on the basis of</w:t>
      </w:r>
      <w:proofErr w:type="gramEnd"/>
      <w:r w:rsidRPr="008C51BD">
        <w:rPr>
          <w:rFonts w:cs="Arial"/>
          <w:sz w:val="22"/>
        </w:rPr>
        <w:t xml:space="preserve"> age. The Government has recently announced its proposals to remedy the discrimination. Whilst these proposals will take some time before they are in place, initial indications are that the cost of administering the remediation will be an additional cost on police forces and the ultimate cost of the remedy may require an increase in employer contributions of 10%.</w:t>
      </w:r>
    </w:p>
    <w:p w14:paraId="04AA3FA6" w14:textId="77777777" w:rsidR="008C51BD" w:rsidRPr="008C51BD" w:rsidRDefault="008C51BD" w:rsidP="008C51BD">
      <w:pPr>
        <w:numPr>
          <w:ilvl w:val="2"/>
          <w:numId w:val="3"/>
        </w:numPr>
        <w:spacing w:after="120"/>
        <w:rPr>
          <w:rFonts w:cs="Arial"/>
          <w:sz w:val="22"/>
        </w:rPr>
      </w:pPr>
      <w:r w:rsidRPr="008C51BD">
        <w:rPr>
          <w:rFonts w:cs="Arial"/>
          <w:sz w:val="22"/>
        </w:rPr>
        <w:t xml:space="preserve">This will form detailed discussion with the Government and the extent to which sufficient funding is made available will be a key element of the discussion. </w:t>
      </w:r>
    </w:p>
    <w:p w14:paraId="2A88FCE0" w14:textId="3874B78B" w:rsidR="004862DA" w:rsidRDefault="004862DA">
      <w:pPr>
        <w:rPr>
          <w:rFonts w:cs="Times New Roman"/>
          <w:sz w:val="22"/>
          <w:szCs w:val="24"/>
        </w:rPr>
      </w:pPr>
    </w:p>
    <w:p w14:paraId="70B215A0" w14:textId="77777777" w:rsidR="006E51AF" w:rsidRDefault="006E51AF">
      <w:pPr>
        <w:rPr>
          <w:rFonts w:cs="Times New Roman"/>
          <w:sz w:val="22"/>
          <w:szCs w:val="24"/>
        </w:rPr>
      </w:pPr>
    </w:p>
    <w:p w14:paraId="086CFE0D" w14:textId="3BB85B07" w:rsidR="004862DA" w:rsidRPr="008366B4" w:rsidRDefault="004862DA" w:rsidP="00B03D05">
      <w:pPr>
        <w:pStyle w:val="ListParagraph"/>
        <w:numPr>
          <w:ilvl w:val="0"/>
          <w:numId w:val="3"/>
        </w:numPr>
        <w:spacing w:after="240"/>
        <w:ind w:left="357" w:hanging="357"/>
        <w:contextualSpacing w:val="0"/>
        <w:rPr>
          <w:b/>
          <w:bCs/>
          <w:szCs w:val="22"/>
        </w:rPr>
      </w:pPr>
      <w:r w:rsidRPr="008366B4">
        <w:rPr>
          <w:b/>
          <w:bCs/>
          <w:szCs w:val="22"/>
        </w:rPr>
        <w:t>Capital investment</w:t>
      </w:r>
    </w:p>
    <w:p w14:paraId="3BDF09B4" w14:textId="7583AB1A" w:rsidR="008C51BD" w:rsidRDefault="008C51BD" w:rsidP="008C51BD">
      <w:pPr>
        <w:numPr>
          <w:ilvl w:val="1"/>
          <w:numId w:val="3"/>
        </w:numPr>
        <w:spacing w:after="120"/>
        <w:jc w:val="both"/>
        <w:rPr>
          <w:rFonts w:cs="Arial"/>
          <w:bCs/>
          <w:sz w:val="22"/>
        </w:rPr>
      </w:pPr>
      <w:r w:rsidRPr="008C51BD">
        <w:rPr>
          <w:rFonts w:cs="Arial"/>
          <w:bCs/>
          <w:sz w:val="22"/>
        </w:rPr>
        <w:t>The capital programme approved in the budget decision for 202</w:t>
      </w:r>
      <w:r w:rsidR="00783E3D">
        <w:rPr>
          <w:rFonts w:cs="Arial"/>
          <w:bCs/>
          <w:sz w:val="22"/>
        </w:rPr>
        <w:t>6</w:t>
      </w:r>
      <w:r w:rsidR="006A30ED">
        <w:rPr>
          <w:rFonts w:cs="Arial"/>
          <w:bCs/>
          <w:sz w:val="22"/>
        </w:rPr>
        <w:t>/27</w:t>
      </w:r>
      <w:r w:rsidRPr="008C51BD">
        <w:rPr>
          <w:rFonts w:cs="Arial"/>
          <w:bCs/>
          <w:sz w:val="22"/>
        </w:rPr>
        <w:t xml:space="preserve"> 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1012"/>
        <w:gridCol w:w="1012"/>
        <w:gridCol w:w="1012"/>
        <w:gridCol w:w="1012"/>
        <w:gridCol w:w="1012"/>
      </w:tblGrid>
      <w:tr w:rsidR="006A30ED" w:rsidRPr="006A30ED" w14:paraId="6CA30B2E" w14:textId="77777777" w:rsidTr="00F444FB">
        <w:trPr>
          <w:jc w:val="center"/>
        </w:trPr>
        <w:tc>
          <w:tcPr>
            <w:tcW w:w="0" w:type="auto"/>
            <w:vAlign w:val="center"/>
          </w:tcPr>
          <w:p w14:paraId="324446EC" w14:textId="77777777" w:rsidR="006A30ED" w:rsidRPr="006A30ED" w:rsidRDefault="006A30ED" w:rsidP="006A30ED">
            <w:pPr>
              <w:rPr>
                <w:rFonts w:cs="Arial"/>
                <w:sz w:val="22"/>
              </w:rPr>
            </w:pPr>
          </w:p>
        </w:tc>
        <w:tc>
          <w:tcPr>
            <w:tcW w:w="0" w:type="auto"/>
            <w:vAlign w:val="center"/>
          </w:tcPr>
          <w:p w14:paraId="0061AB1F" w14:textId="77777777" w:rsidR="006A30ED" w:rsidRPr="006A30ED" w:rsidRDefault="006A30ED" w:rsidP="006A30ED">
            <w:pPr>
              <w:jc w:val="center"/>
              <w:rPr>
                <w:rFonts w:cs="Arial"/>
                <w:b/>
                <w:sz w:val="22"/>
              </w:rPr>
            </w:pPr>
            <w:r w:rsidRPr="006A30ED">
              <w:rPr>
                <w:rFonts w:cs="Arial"/>
                <w:b/>
                <w:sz w:val="22"/>
              </w:rPr>
              <w:t>2026/27</w:t>
            </w:r>
          </w:p>
        </w:tc>
        <w:tc>
          <w:tcPr>
            <w:tcW w:w="0" w:type="auto"/>
            <w:vAlign w:val="center"/>
          </w:tcPr>
          <w:p w14:paraId="3DEE8081" w14:textId="77777777" w:rsidR="006A30ED" w:rsidRPr="006A30ED" w:rsidRDefault="006A30ED" w:rsidP="006A30ED">
            <w:pPr>
              <w:jc w:val="center"/>
              <w:rPr>
                <w:rFonts w:cs="Arial"/>
                <w:b/>
                <w:sz w:val="22"/>
              </w:rPr>
            </w:pPr>
            <w:r w:rsidRPr="006A30ED">
              <w:rPr>
                <w:rFonts w:cs="Arial"/>
                <w:b/>
                <w:sz w:val="22"/>
              </w:rPr>
              <w:t>2027/28</w:t>
            </w:r>
          </w:p>
        </w:tc>
        <w:tc>
          <w:tcPr>
            <w:tcW w:w="0" w:type="auto"/>
            <w:vAlign w:val="center"/>
          </w:tcPr>
          <w:p w14:paraId="01C4B035" w14:textId="77777777" w:rsidR="006A30ED" w:rsidRPr="006A30ED" w:rsidRDefault="006A30ED" w:rsidP="006A30ED">
            <w:pPr>
              <w:jc w:val="center"/>
              <w:rPr>
                <w:rFonts w:cs="Arial"/>
                <w:b/>
                <w:i/>
                <w:sz w:val="22"/>
              </w:rPr>
            </w:pPr>
            <w:r w:rsidRPr="006A30ED">
              <w:rPr>
                <w:rFonts w:cs="Arial"/>
                <w:b/>
                <w:sz w:val="22"/>
              </w:rPr>
              <w:t>2028/29</w:t>
            </w:r>
          </w:p>
        </w:tc>
        <w:tc>
          <w:tcPr>
            <w:tcW w:w="0" w:type="auto"/>
            <w:vAlign w:val="center"/>
          </w:tcPr>
          <w:p w14:paraId="71A88CDC" w14:textId="77777777" w:rsidR="006A30ED" w:rsidRPr="006A30ED" w:rsidRDefault="006A30ED" w:rsidP="006A30ED">
            <w:pPr>
              <w:jc w:val="center"/>
              <w:rPr>
                <w:rFonts w:cs="Arial"/>
                <w:b/>
                <w:i/>
                <w:sz w:val="22"/>
              </w:rPr>
            </w:pPr>
            <w:r w:rsidRPr="006A30ED">
              <w:rPr>
                <w:rFonts w:cs="Arial"/>
                <w:b/>
                <w:sz w:val="22"/>
              </w:rPr>
              <w:t>2029/30</w:t>
            </w:r>
          </w:p>
        </w:tc>
        <w:tc>
          <w:tcPr>
            <w:tcW w:w="0" w:type="auto"/>
            <w:vAlign w:val="center"/>
          </w:tcPr>
          <w:p w14:paraId="6A30C92F" w14:textId="77777777" w:rsidR="006A30ED" w:rsidRPr="006A30ED" w:rsidRDefault="006A30ED" w:rsidP="006A30ED">
            <w:pPr>
              <w:jc w:val="center"/>
              <w:rPr>
                <w:rFonts w:cs="Arial"/>
                <w:b/>
                <w:i/>
                <w:sz w:val="22"/>
              </w:rPr>
            </w:pPr>
            <w:r w:rsidRPr="006A30ED">
              <w:rPr>
                <w:rFonts w:cs="Arial"/>
                <w:b/>
                <w:i/>
                <w:sz w:val="22"/>
              </w:rPr>
              <w:t>Total</w:t>
            </w:r>
          </w:p>
        </w:tc>
      </w:tr>
      <w:tr w:rsidR="006A30ED" w:rsidRPr="006A30ED" w14:paraId="38790346" w14:textId="77777777" w:rsidTr="00F444FB">
        <w:trPr>
          <w:jc w:val="center"/>
        </w:trPr>
        <w:tc>
          <w:tcPr>
            <w:tcW w:w="0" w:type="auto"/>
            <w:vAlign w:val="center"/>
          </w:tcPr>
          <w:p w14:paraId="45F0CE42" w14:textId="77777777" w:rsidR="006A30ED" w:rsidRPr="006A30ED" w:rsidRDefault="006A30ED" w:rsidP="006A30ED">
            <w:pPr>
              <w:rPr>
                <w:rFonts w:cs="Arial"/>
                <w:sz w:val="22"/>
              </w:rPr>
            </w:pPr>
          </w:p>
        </w:tc>
        <w:tc>
          <w:tcPr>
            <w:tcW w:w="0" w:type="auto"/>
            <w:vAlign w:val="center"/>
          </w:tcPr>
          <w:p w14:paraId="42259F34" w14:textId="77777777" w:rsidR="006A30ED" w:rsidRPr="006A30ED" w:rsidRDefault="006A30ED" w:rsidP="006A30ED">
            <w:pPr>
              <w:jc w:val="center"/>
              <w:rPr>
                <w:rFonts w:cs="Arial"/>
                <w:b/>
                <w:sz w:val="22"/>
              </w:rPr>
            </w:pPr>
            <w:r w:rsidRPr="006A30ED">
              <w:rPr>
                <w:rFonts w:cs="Arial"/>
                <w:b/>
                <w:sz w:val="22"/>
              </w:rPr>
              <w:t>£m</w:t>
            </w:r>
          </w:p>
        </w:tc>
        <w:tc>
          <w:tcPr>
            <w:tcW w:w="0" w:type="auto"/>
          </w:tcPr>
          <w:p w14:paraId="385976F1" w14:textId="77777777" w:rsidR="006A30ED" w:rsidRPr="006A30ED" w:rsidRDefault="006A30ED" w:rsidP="006A30ED">
            <w:pPr>
              <w:jc w:val="center"/>
              <w:rPr>
                <w:rFonts w:cs="Arial"/>
                <w:b/>
                <w:sz w:val="22"/>
              </w:rPr>
            </w:pPr>
            <w:r w:rsidRPr="006A30ED">
              <w:rPr>
                <w:rFonts w:cs="Arial"/>
                <w:b/>
                <w:sz w:val="22"/>
              </w:rPr>
              <w:t>£m</w:t>
            </w:r>
          </w:p>
        </w:tc>
        <w:tc>
          <w:tcPr>
            <w:tcW w:w="0" w:type="auto"/>
          </w:tcPr>
          <w:p w14:paraId="5B34C85A" w14:textId="77777777" w:rsidR="006A30ED" w:rsidRPr="006A30ED" w:rsidRDefault="006A30ED" w:rsidP="006A30ED">
            <w:pPr>
              <w:jc w:val="center"/>
              <w:rPr>
                <w:rFonts w:cs="Arial"/>
                <w:b/>
                <w:i/>
                <w:sz w:val="22"/>
              </w:rPr>
            </w:pPr>
            <w:r w:rsidRPr="006A30ED">
              <w:rPr>
                <w:rFonts w:cs="Arial"/>
                <w:b/>
                <w:sz w:val="22"/>
              </w:rPr>
              <w:t>£m</w:t>
            </w:r>
          </w:p>
        </w:tc>
        <w:tc>
          <w:tcPr>
            <w:tcW w:w="0" w:type="auto"/>
          </w:tcPr>
          <w:p w14:paraId="12F70581" w14:textId="77777777" w:rsidR="006A30ED" w:rsidRPr="006A30ED" w:rsidRDefault="006A30ED" w:rsidP="006A30ED">
            <w:pPr>
              <w:jc w:val="center"/>
              <w:rPr>
                <w:rFonts w:cs="Arial"/>
                <w:b/>
                <w:i/>
                <w:sz w:val="22"/>
              </w:rPr>
            </w:pPr>
            <w:r w:rsidRPr="006A30ED">
              <w:rPr>
                <w:rFonts w:cs="Arial"/>
                <w:b/>
                <w:sz w:val="22"/>
              </w:rPr>
              <w:t>£m</w:t>
            </w:r>
          </w:p>
        </w:tc>
        <w:tc>
          <w:tcPr>
            <w:tcW w:w="0" w:type="auto"/>
            <w:vAlign w:val="center"/>
          </w:tcPr>
          <w:p w14:paraId="299AF36A" w14:textId="77777777" w:rsidR="006A30ED" w:rsidRPr="006A30ED" w:rsidRDefault="006A30ED" w:rsidP="006A30ED">
            <w:pPr>
              <w:jc w:val="center"/>
              <w:rPr>
                <w:rFonts w:cs="Arial"/>
                <w:b/>
                <w:i/>
                <w:sz w:val="22"/>
              </w:rPr>
            </w:pPr>
            <w:r w:rsidRPr="006A30ED">
              <w:rPr>
                <w:rFonts w:cs="Arial"/>
                <w:b/>
                <w:i/>
                <w:sz w:val="22"/>
              </w:rPr>
              <w:t>£m</w:t>
            </w:r>
          </w:p>
        </w:tc>
      </w:tr>
      <w:tr w:rsidR="006A30ED" w:rsidRPr="006A30ED" w14:paraId="76563DC8" w14:textId="77777777" w:rsidTr="00F444FB">
        <w:trPr>
          <w:jc w:val="center"/>
        </w:trPr>
        <w:tc>
          <w:tcPr>
            <w:tcW w:w="0" w:type="auto"/>
            <w:vAlign w:val="center"/>
          </w:tcPr>
          <w:p w14:paraId="157F5F23" w14:textId="77777777" w:rsidR="006A30ED" w:rsidRPr="006A30ED" w:rsidRDefault="006A30ED" w:rsidP="006A30ED">
            <w:pPr>
              <w:rPr>
                <w:rFonts w:cs="Arial"/>
                <w:sz w:val="22"/>
              </w:rPr>
            </w:pPr>
            <w:r w:rsidRPr="006A30ED">
              <w:rPr>
                <w:rFonts w:cs="Arial"/>
                <w:sz w:val="22"/>
              </w:rPr>
              <w:t>IT Strategy</w:t>
            </w:r>
          </w:p>
        </w:tc>
        <w:tc>
          <w:tcPr>
            <w:tcW w:w="0" w:type="auto"/>
            <w:vAlign w:val="center"/>
          </w:tcPr>
          <w:p w14:paraId="527178DC" w14:textId="77777777" w:rsidR="006A30ED" w:rsidRPr="006A30ED" w:rsidRDefault="006A30ED" w:rsidP="006A30ED">
            <w:pPr>
              <w:jc w:val="right"/>
              <w:rPr>
                <w:rFonts w:cs="Arial"/>
                <w:sz w:val="22"/>
              </w:rPr>
            </w:pPr>
            <w:r w:rsidRPr="006A30ED">
              <w:rPr>
                <w:rFonts w:cs="Arial"/>
                <w:sz w:val="22"/>
              </w:rPr>
              <w:t>7.000</w:t>
            </w:r>
          </w:p>
        </w:tc>
        <w:tc>
          <w:tcPr>
            <w:tcW w:w="0" w:type="auto"/>
            <w:vAlign w:val="center"/>
          </w:tcPr>
          <w:p w14:paraId="66368422" w14:textId="77777777" w:rsidR="006A30ED" w:rsidRPr="006A30ED" w:rsidRDefault="006A30ED" w:rsidP="006A30ED">
            <w:pPr>
              <w:jc w:val="right"/>
              <w:rPr>
                <w:rFonts w:cs="Arial"/>
                <w:sz w:val="22"/>
              </w:rPr>
            </w:pPr>
            <w:r w:rsidRPr="006A30ED">
              <w:rPr>
                <w:rFonts w:cs="Arial"/>
                <w:sz w:val="22"/>
              </w:rPr>
              <w:t>7.000</w:t>
            </w:r>
          </w:p>
        </w:tc>
        <w:tc>
          <w:tcPr>
            <w:tcW w:w="0" w:type="auto"/>
          </w:tcPr>
          <w:p w14:paraId="547801FD" w14:textId="77777777" w:rsidR="006A30ED" w:rsidRPr="006A30ED" w:rsidRDefault="006A30ED" w:rsidP="006A30ED">
            <w:pPr>
              <w:jc w:val="right"/>
              <w:rPr>
                <w:rFonts w:cs="Arial"/>
                <w:sz w:val="22"/>
              </w:rPr>
            </w:pPr>
            <w:r w:rsidRPr="006A30ED">
              <w:rPr>
                <w:rFonts w:cs="Arial"/>
                <w:sz w:val="22"/>
              </w:rPr>
              <w:t>7.000</w:t>
            </w:r>
          </w:p>
        </w:tc>
        <w:tc>
          <w:tcPr>
            <w:tcW w:w="0" w:type="auto"/>
          </w:tcPr>
          <w:p w14:paraId="1AF1277F" w14:textId="77777777" w:rsidR="006A30ED" w:rsidRPr="006A30ED" w:rsidRDefault="006A30ED" w:rsidP="006A30ED">
            <w:pPr>
              <w:jc w:val="right"/>
              <w:rPr>
                <w:rFonts w:cs="Arial"/>
                <w:sz w:val="22"/>
              </w:rPr>
            </w:pPr>
            <w:r w:rsidRPr="006A30ED">
              <w:rPr>
                <w:rFonts w:cs="Arial"/>
                <w:sz w:val="22"/>
              </w:rPr>
              <w:t>7.000</w:t>
            </w:r>
          </w:p>
        </w:tc>
        <w:tc>
          <w:tcPr>
            <w:tcW w:w="0" w:type="auto"/>
            <w:vAlign w:val="center"/>
          </w:tcPr>
          <w:p w14:paraId="3084EBC9" w14:textId="77777777" w:rsidR="006A30ED" w:rsidRPr="006A30ED" w:rsidRDefault="006A30ED" w:rsidP="006A30ED">
            <w:pPr>
              <w:jc w:val="right"/>
              <w:rPr>
                <w:rFonts w:cs="Arial"/>
                <w:b/>
                <w:i/>
                <w:sz w:val="22"/>
              </w:rPr>
            </w:pPr>
            <w:r w:rsidRPr="006A30ED">
              <w:rPr>
                <w:rFonts w:cs="Arial"/>
                <w:b/>
                <w:i/>
                <w:sz w:val="22"/>
              </w:rPr>
              <w:fldChar w:fldCharType="begin"/>
            </w:r>
            <w:r w:rsidRPr="006A30ED">
              <w:rPr>
                <w:rFonts w:cs="Arial"/>
                <w:b/>
                <w:i/>
                <w:sz w:val="22"/>
              </w:rPr>
              <w:instrText xml:space="preserve"> =SUM(LEFT) </w:instrText>
            </w:r>
            <w:r w:rsidRPr="006A30ED">
              <w:rPr>
                <w:rFonts w:cs="Arial"/>
                <w:b/>
                <w:i/>
                <w:sz w:val="22"/>
              </w:rPr>
              <w:fldChar w:fldCharType="separate"/>
            </w:r>
            <w:r w:rsidRPr="006A30ED">
              <w:rPr>
                <w:rFonts w:cs="Arial"/>
                <w:b/>
                <w:i/>
                <w:noProof/>
                <w:sz w:val="22"/>
              </w:rPr>
              <w:t>28</w:t>
            </w:r>
            <w:r w:rsidRPr="006A30ED">
              <w:rPr>
                <w:rFonts w:cs="Arial"/>
                <w:b/>
                <w:i/>
                <w:sz w:val="22"/>
              </w:rPr>
              <w:fldChar w:fldCharType="end"/>
            </w:r>
            <w:r w:rsidRPr="006A30ED">
              <w:rPr>
                <w:rFonts w:cs="Arial"/>
                <w:b/>
                <w:i/>
                <w:sz w:val="22"/>
              </w:rPr>
              <w:t>.000</w:t>
            </w:r>
          </w:p>
        </w:tc>
      </w:tr>
      <w:tr w:rsidR="006A30ED" w:rsidRPr="006A30ED" w14:paraId="6C385B6E" w14:textId="77777777" w:rsidTr="00F444FB">
        <w:trPr>
          <w:jc w:val="center"/>
        </w:trPr>
        <w:tc>
          <w:tcPr>
            <w:tcW w:w="0" w:type="auto"/>
            <w:vAlign w:val="center"/>
          </w:tcPr>
          <w:p w14:paraId="658D1199" w14:textId="77777777" w:rsidR="006A30ED" w:rsidRPr="006A30ED" w:rsidRDefault="006A30ED" w:rsidP="006A30ED">
            <w:pPr>
              <w:rPr>
                <w:rFonts w:cs="Arial"/>
                <w:sz w:val="22"/>
              </w:rPr>
            </w:pPr>
            <w:r w:rsidRPr="006A30ED">
              <w:rPr>
                <w:rFonts w:cs="Arial"/>
                <w:sz w:val="22"/>
              </w:rPr>
              <w:t>Emergency Services Network (ESN)</w:t>
            </w:r>
          </w:p>
        </w:tc>
        <w:tc>
          <w:tcPr>
            <w:tcW w:w="0" w:type="auto"/>
            <w:vAlign w:val="center"/>
          </w:tcPr>
          <w:p w14:paraId="6FE902CE" w14:textId="77777777" w:rsidR="006A30ED" w:rsidRPr="006A30ED" w:rsidRDefault="006A30ED" w:rsidP="006A30ED">
            <w:pPr>
              <w:jc w:val="right"/>
              <w:rPr>
                <w:rFonts w:cs="Arial"/>
                <w:sz w:val="22"/>
              </w:rPr>
            </w:pPr>
            <w:r w:rsidRPr="006A30ED">
              <w:rPr>
                <w:rFonts w:cs="Arial"/>
                <w:sz w:val="22"/>
              </w:rPr>
              <w:t>0.163</w:t>
            </w:r>
          </w:p>
        </w:tc>
        <w:tc>
          <w:tcPr>
            <w:tcW w:w="0" w:type="auto"/>
            <w:vAlign w:val="center"/>
          </w:tcPr>
          <w:p w14:paraId="591D8C13" w14:textId="77777777" w:rsidR="006A30ED" w:rsidRPr="006A30ED" w:rsidRDefault="006A30ED" w:rsidP="006A30ED">
            <w:pPr>
              <w:jc w:val="right"/>
              <w:rPr>
                <w:rFonts w:cs="Arial"/>
                <w:sz w:val="22"/>
              </w:rPr>
            </w:pPr>
            <w:r w:rsidRPr="006A30ED">
              <w:rPr>
                <w:rFonts w:cs="Arial"/>
                <w:sz w:val="22"/>
              </w:rPr>
              <w:t>0.152</w:t>
            </w:r>
          </w:p>
        </w:tc>
        <w:tc>
          <w:tcPr>
            <w:tcW w:w="0" w:type="auto"/>
            <w:vAlign w:val="center"/>
          </w:tcPr>
          <w:p w14:paraId="5D939CD4" w14:textId="77777777" w:rsidR="006A30ED" w:rsidRPr="006A30ED" w:rsidRDefault="006A30ED" w:rsidP="006A30ED">
            <w:pPr>
              <w:jc w:val="right"/>
              <w:rPr>
                <w:rFonts w:cs="Arial"/>
                <w:sz w:val="22"/>
              </w:rPr>
            </w:pPr>
            <w:r w:rsidRPr="006A30ED">
              <w:rPr>
                <w:rFonts w:cs="Arial"/>
                <w:sz w:val="22"/>
              </w:rPr>
              <w:t>9.890</w:t>
            </w:r>
          </w:p>
        </w:tc>
        <w:tc>
          <w:tcPr>
            <w:tcW w:w="0" w:type="auto"/>
            <w:vAlign w:val="center"/>
          </w:tcPr>
          <w:p w14:paraId="02F44863" w14:textId="77777777" w:rsidR="006A30ED" w:rsidRPr="006A30ED" w:rsidRDefault="006A30ED" w:rsidP="006A30ED">
            <w:pPr>
              <w:jc w:val="right"/>
              <w:rPr>
                <w:rFonts w:cs="Arial"/>
                <w:sz w:val="22"/>
              </w:rPr>
            </w:pPr>
            <w:r w:rsidRPr="006A30ED">
              <w:rPr>
                <w:rFonts w:cs="Arial"/>
                <w:sz w:val="22"/>
              </w:rPr>
              <w:t>5.963</w:t>
            </w:r>
          </w:p>
        </w:tc>
        <w:tc>
          <w:tcPr>
            <w:tcW w:w="0" w:type="auto"/>
            <w:vAlign w:val="center"/>
          </w:tcPr>
          <w:p w14:paraId="7089A97F" w14:textId="77777777" w:rsidR="006A30ED" w:rsidRPr="006A30ED" w:rsidRDefault="006A30ED" w:rsidP="006A30ED">
            <w:pPr>
              <w:jc w:val="right"/>
              <w:rPr>
                <w:rFonts w:cs="Arial"/>
                <w:b/>
                <w:i/>
                <w:sz w:val="22"/>
              </w:rPr>
            </w:pPr>
            <w:r w:rsidRPr="006A30ED">
              <w:rPr>
                <w:rFonts w:cs="Arial"/>
                <w:b/>
                <w:i/>
                <w:sz w:val="22"/>
              </w:rPr>
              <w:fldChar w:fldCharType="begin"/>
            </w:r>
            <w:r w:rsidRPr="006A30ED">
              <w:rPr>
                <w:rFonts w:cs="Arial"/>
                <w:b/>
                <w:i/>
                <w:sz w:val="22"/>
              </w:rPr>
              <w:instrText xml:space="preserve"> =SUM(left) </w:instrText>
            </w:r>
            <w:r w:rsidRPr="006A30ED">
              <w:rPr>
                <w:rFonts w:cs="Arial"/>
                <w:b/>
                <w:i/>
                <w:sz w:val="22"/>
              </w:rPr>
              <w:fldChar w:fldCharType="separate"/>
            </w:r>
            <w:r w:rsidRPr="006A30ED">
              <w:rPr>
                <w:rFonts w:cs="Arial"/>
                <w:b/>
                <w:i/>
                <w:noProof/>
                <w:sz w:val="22"/>
              </w:rPr>
              <w:t>16.168</w:t>
            </w:r>
            <w:r w:rsidRPr="006A30ED">
              <w:rPr>
                <w:rFonts w:cs="Arial"/>
                <w:b/>
                <w:i/>
                <w:sz w:val="22"/>
              </w:rPr>
              <w:fldChar w:fldCharType="end"/>
            </w:r>
          </w:p>
        </w:tc>
      </w:tr>
      <w:tr w:rsidR="006A30ED" w:rsidRPr="006A30ED" w14:paraId="088A0067" w14:textId="77777777" w:rsidTr="00F444FB">
        <w:trPr>
          <w:jc w:val="center"/>
        </w:trPr>
        <w:tc>
          <w:tcPr>
            <w:tcW w:w="0" w:type="auto"/>
            <w:vAlign w:val="center"/>
          </w:tcPr>
          <w:p w14:paraId="49188A44" w14:textId="77777777" w:rsidR="006A30ED" w:rsidRPr="006A30ED" w:rsidRDefault="006A30ED" w:rsidP="006A30ED">
            <w:pPr>
              <w:rPr>
                <w:rFonts w:cs="Arial"/>
                <w:sz w:val="22"/>
              </w:rPr>
            </w:pPr>
            <w:r w:rsidRPr="006A30ED">
              <w:rPr>
                <w:rFonts w:cs="Arial"/>
                <w:sz w:val="22"/>
              </w:rPr>
              <w:t>Accommodation Strategy</w:t>
            </w:r>
          </w:p>
        </w:tc>
        <w:tc>
          <w:tcPr>
            <w:tcW w:w="0" w:type="auto"/>
            <w:vAlign w:val="center"/>
          </w:tcPr>
          <w:p w14:paraId="4D7D1D8E" w14:textId="77777777" w:rsidR="006A30ED" w:rsidRPr="006A30ED" w:rsidRDefault="006A30ED" w:rsidP="006A30ED">
            <w:pPr>
              <w:jc w:val="right"/>
              <w:rPr>
                <w:rFonts w:cs="Arial"/>
                <w:sz w:val="22"/>
              </w:rPr>
            </w:pPr>
            <w:r w:rsidRPr="006A30ED">
              <w:rPr>
                <w:rFonts w:cs="Arial"/>
                <w:sz w:val="22"/>
              </w:rPr>
              <w:t>39.683</w:t>
            </w:r>
          </w:p>
        </w:tc>
        <w:tc>
          <w:tcPr>
            <w:tcW w:w="0" w:type="auto"/>
            <w:vAlign w:val="center"/>
          </w:tcPr>
          <w:p w14:paraId="53E3BC08" w14:textId="77777777" w:rsidR="006A30ED" w:rsidRPr="006A30ED" w:rsidRDefault="006A30ED" w:rsidP="006A30ED">
            <w:pPr>
              <w:jc w:val="right"/>
              <w:rPr>
                <w:rFonts w:cs="Arial"/>
                <w:sz w:val="22"/>
              </w:rPr>
            </w:pPr>
            <w:r w:rsidRPr="006A30ED">
              <w:rPr>
                <w:rFonts w:cs="Arial"/>
                <w:sz w:val="22"/>
              </w:rPr>
              <w:t>51.753</w:t>
            </w:r>
          </w:p>
        </w:tc>
        <w:tc>
          <w:tcPr>
            <w:tcW w:w="0" w:type="auto"/>
          </w:tcPr>
          <w:p w14:paraId="62B16AE0" w14:textId="77777777" w:rsidR="006A30ED" w:rsidRPr="006A30ED" w:rsidRDefault="006A30ED" w:rsidP="006A30ED">
            <w:pPr>
              <w:jc w:val="right"/>
              <w:rPr>
                <w:rFonts w:cs="Arial"/>
                <w:sz w:val="22"/>
              </w:rPr>
            </w:pPr>
            <w:r w:rsidRPr="006A30ED">
              <w:rPr>
                <w:rFonts w:cs="Arial"/>
                <w:sz w:val="22"/>
              </w:rPr>
              <w:t>50.095</w:t>
            </w:r>
          </w:p>
        </w:tc>
        <w:tc>
          <w:tcPr>
            <w:tcW w:w="0" w:type="auto"/>
          </w:tcPr>
          <w:p w14:paraId="4B5E09C3" w14:textId="77777777" w:rsidR="006A30ED" w:rsidRPr="006A30ED" w:rsidRDefault="006A30ED" w:rsidP="006A30ED">
            <w:pPr>
              <w:jc w:val="right"/>
              <w:rPr>
                <w:rFonts w:cs="Arial"/>
                <w:sz w:val="22"/>
              </w:rPr>
            </w:pPr>
            <w:r w:rsidRPr="006A30ED">
              <w:rPr>
                <w:rFonts w:cs="Arial"/>
                <w:sz w:val="22"/>
              </w:rPr>
              <w:t>47.125</w:t>
            </w:r>
          </w:p>
        </w:tc>
        <w:tc>
          <w:tcPr>
            <w:tcW w:w="0" w:type="auto"/>
            <w:vAlign w:val="center"/>
          </w:tcPr>
          <w:p w14:paraId="71A95760" w14:textId="77777777" w:rsidR="006A30ED" w:rsidRPr="006A30ED" w:rsidRDefault="006A30ED" w:rsidP="006A30ED">
            <w:pPr>
              <w:jc w:val="right"/>
              <w:rPr>
                <w:rFonts w:cs="Arial"/>
                <w:b/>
                <w:i/>
                <w:sz w:val="22"/>
              </w:rPr>
            </w:pPr>
            <w:r w:rsidRPr="006A30ED">
              <w:rPr>
                <w:rFonts w:cs="Arial"/>
                <w:b/>
                <w:i/>
                <w:sz w:val="22"/>
              </w:rPr>
              <w:fldChar w:fldCharType="begin"/>
            </w:r>
            <w:r w:rsidRPr="006A30ED">
              <w:rPr>
                <w:rFonts w:cs="Arial"/>
                <w:b/>
                <w:i/>
                <w:sz w:val="22"/>
              </w:rPr>
              <w:instrText xml:space="preserve"> =SUM(left) </w:instrText>
            </w:r>
            <w:r w:rsidRPr="006A30ED">
              <w:rPr>
                <w:rFonts w:cs="Arial"/>
                <w:b/>
                <w:i/>
                <w:sz w:val="22"/>
              </w:rPr>
              <w:fldChar w:fldCharType="separate"/>
            </w:r>
            <w:r w:rsidRPr="006A30ED">
              <w:rPr>
                <w:rFonts w:cs="Arial"/>
                <w:b/>
                <w:i/>
                <w:noProof/>
                <w:sz w:val="22"/>
              </w:rPr>
              <w:t>188.656</w:t>
            </w:r>
            <w:r w:rsidRPr="006A30ED">
              <w:rPr>
                <w:rFonts w:cs="Arial"/>
                <w:b/>
                <w:i/>
                <w:sz w:val="22"/>
              </w:rPr>
              <w:fldChar w:fldCharType="end"/>
            </w:r>
          </w:p>
        </w:tc>
      </w:tr>
      <w:tr w:rsidR="006A30ED" w:rsidRPr="006A30ED" w14:paraId="6DB9A1F8" w14:textId="77777777" w:rsidTr="00F444FB">
        <w:trPr>
          <w:jc w:val="center"/>
        </w:trPr>
        <w:tc>
          <w:tcPr>
            <w:tcW w:w="0" w:type="auto"/>
            <w:vAlign w:val="center"/>
          </w:tcPr>
          <w:p w14:paraId="313E3314" w14:textId="77777777" w:rsidR="006A30ED" w:rsidRPr="006A30ED" w:rsidRDefault="006A30ED" w:rsidP="006A30ED">
            <w:pPr>
              <w:rPr>
                <w:rFonts w:cs="Arial"/>
                <w:sz w:val="22"/>
              </w:rPr>
            </w:pPr>
            <w:r w:rsidRPr="006A30ED">
              <w:rPr>
                <w:rFonts w:cs="Arial"/>
                <w:sz w:val="22"/>
              </w:rPr>
              <w:t>Vehicle Replacement</w:t>
            </w:r>
          </w:p>
        </w:tc>
        <w:tc>
          <w:tcPr>
            <w:tcW w:w="0" w:type="auto"/>
            <w:vAlign w:val="center"/>
          </w:tcPr>
          <w:p w14:paraId="3A3A60EE" w14:textId="77777777" w:rsidR="006A30ED" w:rsidRPr="006A30ED" w:rsidRDefault="006A30ED" w:rsidP="006A30ED">
            <w:pPr>
              <w:jc w:val="right"/>
              <w:rPr>
                <w:rFonts w:cs="Arial"/>
                <w:sz w:val="22"/>
              </w:rPr>
            </w:pPr>
            <w:r w:rsidRPr="006A30ED">
              <w:rPr>
                <w:rFonts w:cs="Arial"/>
                <w:sz w:val="22"/>
              </w:rPr>
              <w:t>5.000</w:t>
            </w:r>
          </w:p>
        </w:tc>
        <w:tc>
          <w:tcPr>
            <w:tcW w:w="0" w:type="auto"/>
            <w:vAlign w:val="center"/>
          </w:tcPr>
          <w:p w14:paraId="6CA55C0E" w14:textId="77777777" w:rsidR="006A30ED" w:rsidRPr="006A30ED" w:rsidRDefault="006A30ED" w:rsidP="006A30ED">
            <w:pPr>
              <w:jc w:val="right"/>
              <w:rPr>
                <w:rFonts w:cs="Arial"/>
                <w:sz w:val="22"/>
              </w:rPr>
            </w:pPr>
            <w:r w:rsidRPr="006A30ED">
              <w:rPr>
                <w:rFonts w:cs="Arial"/>
                <w:sz w:val="22"/>
              </w:rPr>
              <w:t>5.000</w:t>
            </w:r>
          </w:p>
        </w:tc>
        <w:tc>
          <w:tcPr>
            <w:tcW w:w="0" w:type="auto"/>
          </w:tcPr>
          <w:p w14:paraId="1EC97DDF" w14:textId="77777777" w:rsidR="006A30ED" w:rsidRPr="006A30ED" w:rsidRDefault="006A30ED" w:rsidP="006A30ED">
            <w:pPr>
              <w:jc w:val="right"/>
              <w:rPr>
                <w:rFonts w:cs="Arial"/>
                <w:sz w:val="22"/>
              </w:rPr>
            </w:pPr>
            <w:r w:rsidRPr="006A30ED">
              <w:rPr>
                <w:rFonts w:cs="Arial"/>
                <w:sz w:val="22"/>
              </w:rPr>
              <w:t>5.000</w:t>
            </w:r>
          </w:p>
        </w:tc>
        <w:tc>
          <w:tcPr>
            <w:tcW w:w="0" w:type="auto"/>
          </w:tcPr>
          <w:p w14:paraId="32EEA65C" w14:textId="77777777" w:rsidR="006A30ED" w:rsidRPr="006A30ED" w:rsidRDefault="006A30ED" w:rsidP="006A30ED">
            <w:pPr>
              <w:jc w:val="right"/>
              <w:rPr>
                <w:rFonts w:cs="Arial"/>
                <w:sz w:val="22"/>
              </w:rPr>
            </w:pPr>
            <w:r w:rsidRPr="006A30ED">
              <w:rPr>
                <w:rFonts w:cs="Arial"/>
                <w:sz w:val="22"/>
              </w:rPr>
              <w:t>5.000</w:t>
            </w:r>
          </w:p>
        </w:tc>
        <w:tc>
          <w:tcPr>
            <w:tcW w:w="0" w:type="auto"/>
            <w:vAlign w:val="center"/>
          </w:tcPr>
          <w:p w14:paraId="0870E2CE" w14:textId="77777777" w:rsidR="006A30ED" w:rsidRPr="006A30ED" w:rsidRDefault="006A30ED" w:rsidP="006A30ED">
            <w:pPr>
              <w:jc w:val="right"/>
              <w:rPr>
                <w:rFonts w:cs="Arial"/>
                <w:b/>
                <w:i/>
                <w:sz w:val="22"/>
              </w:rPr>
            </w:pPr>
            <w:r w:rsidRPr="006A30ED">
              <w:rPr>
                <w:rFonts w:cs="Arial"/>
                <w:b/>
                <w:i/>
                <w:sz w:val="22"/>
              </w:rPr>
              <w:t>20.000</w:t>
            </w:r>
          </w:p>
        </w:tc>
      </w:tr>
      <w:tr w:rsidR="006A30ED" w:rsidRPr="006A30ED" w14:paraId="27E4C895" w14:textId="77777777" w:rsidTr="00F444FB">
        <w:trPr>
          <w:jc w:val="center"/>
        </w:trPr>
        <w:tc>
          <w:tcPr>
            <w:tcW w:w="0" w:type="auto"/>
            <w:vAlign w:val="center"/>
          </w:tcPr>
          <w:p w14:paraId="05879C96" w14:textId="77777777" w:rsidR="006A30ED" w:rsidRPr="006A30ED" w:rsidRDefault="006A30ED" w:rsidP="006A30ED">
            <w:pPr>
              <w:rPr>
                <w:rFonts w:cs="Arial"/>
                <w:sz w:val="22"/>
              </w:rPr>
            </w:pPr>
            <w:r w:rsidRPr="006A30ED">
              <w:rPr>
                <w:rFonts w:cs="Arial"/>
                <w:sz w:val="22"/>
              </w:rPr>
              <w:t>Other Schemes</w:t>
            </w:r>
          </w:p>
        </w:tc>
        <w:tc>
          <w:tcPr>
            <w:tcW w:w="0" w:type="auto"/>
            <w:vAlign w:val="center"/>
          </w:tcPr>
          <w:p w14:paraId="3E8ED2C6" w14:textId="77777777" w:rsidR="006A30ED" w:rsidRPr="006A30ED" w:rsidRDefault="006A30ED" w:rsidP="006A30ED">
            <w:pPr>
              <w:jc w:val="right"/>
              <w:rPr>
                <w:rFonts w:cs="Arial"/>
                <w:sz w:val="22"/>
              </w:rPr>
            </w:pPr>
            <w:r w:rsidRPr="006A30ED">
              <w:rPr>
                <w:rFonts w:cs="Arial"/>
                <w:sz w:val="22"/>
              </w:rPr>
              <w:t>1.641</w:t>
            </w:r>
          </w:p>
        </w:tc>
        <w:tc>
          <w:tcPr>
            <w:tcW w:w="0" w:type="auto"/>
            <w:vAlign w:val="center"/>
          </w:tcPr>
          <w:p w14:paraId="0838DD2F" w14:textId="77777777" w:rsidR="006A30ED" w:rsidRPr="006A30ED" w:rsidRDefault="006A30ED" w:rsidP="006A30ED">
            <w:pPr>
              <w:jc w:val="right"/>
              <w:rPr>
                <w:rFonts w:cs="Arial"/>
                <w:sz w:val="22"/>
              </w:rPr>
            </w:pPr>
            <w:r w:rsidRPr="006A30ED">
              <w:rPr>
                <w:rFonts w:cs="Arial"/>
                <w:sz w:val="22"/>
              </w:rPr>
              <w:t>1.223</w:t>
            </w:r>
          </w:p>
        </w:tc>
        <w:tc>
          <w:tcPr>
            <w:tcW w:w="0" w:type="auto"/>
          </w:tcPr>
          <w:p w14:paraId="088A1318" w14:textId="77777777" w:rsidR="006A30ED" w:rsidRPr="006A30ED" w:rsidRDefault="006A30ED" w:rsidP="006A30ED">
            <w:pPr>
              <w:jc w:val="right"/>
              <w:rPr>
                <w:rFonts w:cs="Arial"/>
                <w:sz w:val="22"/>
              </w:rPr>
            </w:pPr>
            <w:r w:rsidRPr="006A30ED">
              <w:rPr>
                <w:rFonts w:cs="Arial"/>
                <w:sz w:val="22"/>
              </w:rPr>
              <w:t>1.290</w:t>
            </w:r>
          </w:p>
        </w:tc>
        <w:tc>
          <w:tcPr>
            <w:tcW w:w="0" w:type="auto"/>
          </w:tcPr>
          <w:p w14:paraId="340B29FB" w14:textId="77777777" w:rsidR="006A30ED" w:rsidRPr="006A30ED" w:rsidRDefault="006A30ED" w:rsidP="006A30ED">
            <w:pPr>
              <w:jc w:val="right"/>
              <w:rPr>
                <w:rFonts w:cs="Arial"/>
                <w:sz w:val="22"/>
              </w:rPr>
            </w:pPr>
            <w:r w:rsidRPr="006A30ED">
              <w:rPr>
                <w:rFonts w:cs="Arial"/>
                <w:sz w:val="22"/>
              </w:rPr>
              <w:t>0.490</w:t>
            </w:r>
          </w:p>
        </w:tc>
        <w:tc>
          <w:tcPr>
            <w:tcW w:w="0" w:type="auto"/>
            <w:vAlign w:val="center"/>
          </w:tcPr>
          <w:p w14:paraId="2B5646BF" w14:textId="77777777" w:rsidR="006A30ED" w:rsidRPr="006A30ED" w:rsidRDefault="006A30ED" w:rsidP="006A30ED">
            <w:pPr>
              <w:jc w:val="right"/>
              <w:rPr>
                <w:rFonts w:cs="Arial"/>
                <w:b/>
                <w:i/>
                <w:sz w:val="22"/>
              </w:rPr>
            </w:pPr>
            <w:r w:rsidRPr="006A30ED">
              <w:rPr>
                <w:rFonts w:cs="Arial"/>
                <w:b/>
                <w:i/>
                <w:sz w:val="22"/>
              </w:rPr>
              <w:fldChar w:fldCharType="begin"/>
            </w:r>
            <w:r w:rsidRPr="006A30ED">
              <w:rPr>
                <w:rFonts w:cs="Arial"/>
                <w:b/>
                <w:i/>
                <w:sz w:val="22"/>
              </w:rPr>
              <w:instrText xml:space="preserve"> =SUM(left) </w:instrText>
            </w:r>
            <w:r w:rsidRPr="006A30ED">
              <w:rPr>
                <w:rFonts w:cs="Arial"/>
                <w:b/>
                <w:i/>
                <w:sz w:val="22"/>
              </w:rPr>
              <w:fldChar w:fldCharType="separate"/>
            </w:r>
            <w:r w:rsidRPr="006A30ED">
              <w:rPr>
                <w:rFonts w:cs="Arial"/>
                <w:b/>
                <w:i/>
                <w:noProof/>
                <w:sz w:val="22"/>
              </w:rPr>
              <w:t>4.644</w:t>
            </w:r>
            <w:r w:rsidRPr="006A30ED">
              <w:rPr>
                <w:rFonts w:cs="Arial"/>
                <w:b/>
                <w:i/>
                <w:sz w:val="22"/>
              </w:rPr>
              <w:fldChar w:fldCharType="end"/>
            </w:r>
          </w:p>
        </w:tc>
      </w:tr>
      <w:tr w:rsidR="006A30ED" w:rsidRPr="006A30ED" w14:paraId="1A939966" w14:textId="77777777" w:rsidTr="00F444FB">
        <w:trPr>
          <w:jc w:val="center"/>
        </w:trPr>
        <w:tc>
          <w:tcPr>
            <w:tcW w:w="0" w:type="auto"/>
            <w:shd w:val="clear" w:color="auto" w:fill="C6D9F1"/>
            <w:vAlign w:val="center"/>
          </w:tcPr>
          <w:p w14:paraId="0EEFC2A4" w14:textId="77777777" w:rsidR="006A30ED" w:rsidRPr="006A30ED" w:rsidRDefault="006A30ED" w:rsidP="006A30ED">
            <w:pPr>
              <w:rPr>
                <w:rFonts w:cs="Arial"/>
                <w:b/>
                <w:sz w:val="22"/>
              </w:rPr>
            </w:pPr>
            <w:r w:rsidRPr="006A30ED">
              <w:rPr>
                <w:rFonts w:cs="Arial"/>
                <w:b/>
                <w:sz w:val="22"/>
              </w:rPr>
              <w:t>Total</w:t>
            </w:r>
          </w:p>
        </w:tc>
        <w:tc>
          <w:tcPr>
            <w:tcW w:w="0" w:type="auto"/>
            <w:shd w:val="clear" w:color="auto" w:fill="C6D9F1"/>
            <w:vAlign w:val="center"/>
          </w:tcPr>
          <w:p w14:paraId="1F0ABE22" w14:textId="77777777" w:rsidR="006A30ED" w:rsidRPr="006A30ED" w:rsidRDefault="006A30ED" w:rsidP="006A30ED">
            <w:pPr>
              <w:jc w:val="right"/>
              <w:rPr>
                <w:rFonts w:cs="Arial"/>
                <w:b/>
                <w:sz w:val="22"/>
              </w:rPr>
            </w:pPr>
            <w:r w:rsidRPr="006A30ED">
              <w:rPr>
                <w:rFonts w:cs="Arial"/>
                <w:b/>
                <w:sz w:val="22"/>
              </w:rPr>
              <w:fldChar w:fldCharType="begin"/>
            </w:r>
            <w:r w:rsidRPr="006A30ED">
              <w:rPr>
                <w:rFonts w:cs="Arial"/>
                <w:b/>
                <w:sz w:val="22"/>
              </w:rPr>
              <w:instrText xml:space="preserve"> =SUM(ABOVE) </w:instrText>
            </w:r>
            <w:r w:rsidRPr="006A30ED">
              <w:rPr>
                <w:rFonts w:cs="Arial"/>
                <w:b/>
                <w:sz w:val="22"/>
              </w:rPr>
              <w:fldChar w:fldCharType="separate"/>
            </w:r>
            <w:r w:rsidRPr="006A30ED">
              <w:rPr>
                <w:rFonts w:cs="Arial"/>
                <w:b/>
                <w:noProof/>
                <w:sz w:val="22"/>
              </w:rPr>
              <w:t>53.487</w:t>
            </w:r>
            <w:r w:rsidRPr="006A30ED">
              <w:rPr>
                <w:rFonts w:cs="Arial"/>
                <w:b/>
                <w:sz w:val="22"/>
              </w:rPr>
              <w:fldChar w:fldCharType="end"/>
            </w:r>
          </w:p>
        </w:tc>
        <w:tc>
          <w:tcPr>
            <w:tcW w:w="0" w:type="auto"/>
            <w:shd w:val="clear" w:color="auto" w:fill="C6D9F1"/>
            <w:vAlign w:val="center"/>
          </w:tcPr>
          <w:p w14:paraId="7A2CECCC" w14:textId="77777777" w:rsidR="006A30ED" w:rsidRPr="006A30ED" w:rsidRDefault="006A30ED" w:rsidP="006A30ED">
            <w:pPr>
              <w:jc w:val="right"/>
              <w:rPr>
                <w:rFonts w:cs="Arial"/>
                <w:b/>
                <w:sz w:val="22"/>
              </w:rPr>
            </w:pPr>
            <w:r w:rsidRPr="006A30ED">
              <w:rPr>
                <w:rFonts w:cs="Arial"/>
                <w:b/>
                <w:sz w:val="22"/>
              </w:rPr>
              <w:fldChar w:fldCharType="begin"/>
            </w:r>
            <w:r w:rsidRPr="006A30ED">
              <w:rPr>
                <w:rFonts w:cs="Arial"/>
                <w:b/>
                <w:sz w:val="22"/>
              </w:rPr>
              <w:instrText xml:space="preserve"> =SUM(ABOVE) </w:instrText>
            </w:r>
            <w:r w:rsidRPr="006A30ED">
              <w:rPr>
                <w:rFonts w:cs="Arial"/>
                <w:b/>
                <w:sz w:val="22"/>
              </w:rPr>
              <w:fldChar w:fldCharType="separate"/>
            </w:r>
            <w:r w:rsidRPr="006A30ED">
              <w:rPr>
                <w:rFonts w:cs="Arial"/>
                <w:b/>
                <w:noProof/>
                <w:sz w:val="22"/>
              </w:rPr>
              <w:t>65.128</w:t>
            </w:r>
            <w:r w:rsidRPr="006A30ED">
              <w:rPr>
                <w:rFonts w:cs="Arial"/>
                <w:b/>
                <w:sz w:val="22"/>
              </w:rPr>
              <w:fldChar w:fldCharType="end"/>
            </w:r>
          </w:p>
        </w:tc>
        <w:tc>
          <w:tcPr>
            <w:tcW w:w="0" w:type="auto"/>
            <w:shd w:val="clear" w:color="auto" w:fill="C6D9F1"/>
          </w:tcPr>
          <w:p w14:paraId="28855522" w14:textId="77777777" w:rsidR="006A30ED" w:rsidRPr="006A30ED" w:rsidRDefault="006A30ED" w:rsidP="006A30ED">
            <w:pPr>
              <w:jc w:val="right"/>
              <w:rPr>
                <w:rFonts w:cs="Arial"/>
                <w:b/>
                <w:sz w:val="22"/>
              </w:rPr>
            </w:pPr>
            <w:r w:rsidRPr="006A30ED">
              <w:rPr>
                <w:rFonts w:cs="Arial"/>
                <w:b/>
                <w:sz w:val="22"/>
              </w:rPr>
              <w:fldChar w:fldCharType="begin"/>
            </w:r>
            <w:r w:rsidRPr="006A30ED">
              <w:rPr>
                <w:rFonts w:cs="Arial"/>
                <w:b/>
                <w:sz w:val="22"/>
              </w:rPr>
              <w:instrText xml:space="preserve"> =SUM(ABOVE) </w:instrText>
            </w:r>
            <w:r w:rsidRPr="006A30ED">
              <w:rPr>
                <w:rFonts w:cs="Arial"/>
                <w:b/>
                <w:sz w:val="22"/>
              </w:rPr>
              <w:fldChar w:fldCharType="separate"/>
            </w:r>
            <w:r w:rsidRPr="006A30ED">
              <w:rPr>
                <w:rFonts w:cs="Arial"/>
                <w:b/>
                <w:noProof/>
                <w:sz w:val="22"/>
              </w:rPr>
              <w:t>73.275</w:t>
            </w:r>
            <w:r w:rsidRPr="006A30ED">
              <w:rPr>
                <w:rFonts w:cs="Arial"/>
                <w:b/>
                <w:sz w:val="22"/>
              </w:rPr>
              <w:fldChar w:fldCharType="end"/>
            </w:r>
          </w:p>
        </w:tc>
        <w:tc>
          <w:tcPr>
            <w:tcW w:w="0" w:type="auto"/>
            <w:shd w:val="clear" w:color="auto" w:fill="C6D9F1"/>
          </w:tcPr>
          <w:p w14:paraId="1E1FB91E" w14:textId="77777777" w:rsidR="006A30ED" w:rsidRPr="006A30ED" w:rsidRDefault="006A30ED" w:rsidP="006A30ED">
            <w:pPr>
              <w:jc w:val="right"/>
              <w:rPr>
                <w:rFonts w:cs="Arial"/>
                <w:b/>
                <w:sz w:val="22"/>
              </w:rPr>
            </w:pPr>
            <w:r w:rsidRPr="006A30ED">
              <w:rPr>
                <w:rFonts w:cs="Arial"/>
                <w:b/>
                <w:sz w:val="22"/>
              </w:rPr>
              <w:fldChar w:fldCharType="begin"/>
            </w:r>
            <w:r w:rsidRPr="006A30ED">
              <w:rPr>
                <w:rFonts w:cs="Arial"/>
                <w:b/>
                <w:sz w:val="22"/>
              </w:rPr>
              <w:instrText xml:space="preserve"> =SUM(ABOVE) </w:instrText>
            </w:r>
            <w:r w:rsidRPr="006A30ED">
              <w:rPr>
                <w:rFonts w:cs="Arial"/>
                <w:b/>
                <w:sz w:val="22"/>
              </w:rPr>
              <w:fldChar w:fldCharType="separate"/>
            </w:r>
            <w:r w:rsidRPr="006A30ED">
              <w:rPr>
                <w:rFonts w:cs="Arial"/>
                <w:b/>
                <w:noProof/>
                <w:sz w:val="22"/>
              </w:rPr>
              <w:t>65.578</w:t>
            </w:r>
            <w:r w:rsidRPr="006A30ED">
              <w:rPr>
                <w:rFonts w:cs="Arial"/>
                <w:b/>
                <w:sz w:val="22"/>
              </w:rPr>
              <w:fldChar w:fldCharType="end"/>
            </w:r>
          </w:p>
        </w:tc>
        <w:tc>
          <w:tcPr>
            <w:tcW w:w="0" w:type="auto"/>
            <w:shd w:val="clear" w:color="auto" w:fill="C6D9F1"/>
            <w:vAlign w:val="center"/>
          </w:tcPr>
          <w:p w14:paraId="420D7D7A" w14:textId="77777777" w:rsidR="006A30ED" w:rsidRPr="006A30ED" w:rsidRDefault="006A30ED" w:rsidP="006A30ED">
            <w:pPr>
              <w:jc w:val="right"/>
              <w:rPr>
                <w:rFonts w:cs="Arial"/>
                <w:b/>
                <w:i/>
                <w:sz w:val="22"/>
              </w:rPr>
            </w:pPr>
            <w:r w:rsidRPr="006A30ED">
              <w:rPr>
                <w:rFonts w:cs="Arial"/>
                <w:b/>
                <w:i/>
                <w:sz w:val="22"/>
              </w:rPr>
              <w:fldChar w:fldCharType="begin"/>
            </w:r>
            <w:r w:rsidRPr="006A30ED">
              <w:rPr>
                <w:rFonts w:cs="Arial"/>
                <w:b/>
                <w:i/>
                <w:sz w:val="22"/>
              </w:rPr>
              <w:instrText xml:space="preserve"> =SUM(ABOVE) </w:instrText>
            </w:r>
            <w:r w:rsidRPr="006A30ED">
              <w:rPr>
                <w:rFonts w:cs="Arial"/>
                <w:b/>
                <w:i/>
                <w:sz w:val="22"/>
              </w:rPr>
              <w:fldChar w:fldCharType="separate"/>
            </w:r>
            <w:r w:rsidRPr="006A30ED">
              <w:rPr>
                <w:rFonts w:cs="Arial"/>
                <w:b/>
                <w:i/>
                <w:noProof/>
                <w:sz w:val="22"/>
              </w:rPr>
              <w:t>257.468</w:t>
            </w:r>
            <w:r w:rsidRPr="006A30ED">
              <w:rPr>
                <w:rFonts w:cs="Arial"/>
                <w:b/>
                <w:i/>
                <w:sz w:val="22"/>
              </w:rPr>
              <w:fldChar w:fldCharType="end"/>
            </w:r>
          </w:p>
        </w:tc>
      </w:tr>
    </w:tbl>
    <w:p w14:paraId="7DEF3183" w14:textId="77777777" w:rsidR="008C51BD" w:rsidRPr="008C51BD" w:rsidRDefault="008C51BD" w:rsidP="008C51BD">
      <w:pPr>
        <w:spacing w:after="120"/>
        <w:ind w:left="357"/>
        <w:rPr>
          <w:rFonts w:cs="Arial"/>
          <w:bCs/>
          <w:sz w:val="22"/>
        </w:rPr>
      </w:pPr>
    </w:p>
    <w:p w14:paraId="5C4B6799" w14:textId="057BC79A" w:rsidR="008C51BD" w:rsidRDefault="008C51BD" w:rsidP="008C51BD">
      <w:pPr>
        <w:numPr>
          <w:ilvl w:val="1"/>
          <w:numId w:val="3"/>
        </w:numPr>
        <w:spacing w:after="120"/>
        <w:jc w:val="both"/>
        <w:rPr>
          <w:rFonts w:cs="Arial"/>
          <w:bCs/>
          <w:sz w:val="22"/>
        </w:rPr>
      </w:pPr>
      <w:r w:rsidRPr="008C51BD">
        <w:rPr>
          <w:rFonts w:cs="Arial"/>
          <w:bCs/>
          <w:sz w:val="22"/>
        </w:rPr>
        <w:t xml:space="preserve">Each proposed project for the accommodation element of the capital programme is subject to </w:t>
      </w:r>
      <w:proofErr w:type="gramStart"/>
      <w:r w:rsidRPr="008C51BD">
        <w:rPr>
          <w:rFonts w:cs="Arial"/>
          <w:bCs/>
          <w:sz w:val="22"/>
        </w:rPr>
        <w:t>further,</w:t>
      </w:r>
      <w:proofErr w:type="gramEnd"/>
      <w:r w:rsidRPr="008C51BD">
        <w:rPr>
          <w:rFonts w:cs="Arial"/>
          <w:bCs/>
          <w:sz w:val="22"/>
        </w:rPr>
        <w:t xml:space="preserve"> final approval being provided by the Commissioner on a scheme-by-scheme basis.</w:t>
      </w:r>
      <w:r w:rsidR="007D4CED">
        <w:rPr>
          <w:rFonts w:cs="Arial"/>
          <w:bCs/>
          <w:sz w:val="22"/>
        </w:rPr>
        <w:t xml:space="preserve"> The main accommodation projects included in the programme are:</w:t>
      </w:r>
    </w:p>
    <w:p w14:paraId="78A508AD" w14:textId="63826B26" w:rsidR="007D4CED" w:rsidRDefault="007D4CED" w:rsidP="007D4CED">
      <w:pPr>
        <w:numPr>
          <w:ilvl w:val="0"/>
          <w:numId w:val="6"/>
        </w:numPr>
        <w:ind w:left="1134"/>
        <w:rPr>
          <w:rFonts w:cs="Arial"/>
          <w:bCs/>
          <w:sz w:val="22"/>
        </w:rPr>
      </w:pPr>
      <w:r>
        <w:rPr>
          <w:rFonts w:cs="Arial"/>
          <w:bCs/>
          <w:sz w:val="22"/>
        </w:rPr>
        <w:t>Critical Policing Infrastructure Programme including the development of the Police HQ site at Hutton</w:t>
      </w:r>
    </w:p>
    <w:p w14:paraId="5AE6F85A" w14:textId="43AEB897" w:rsidR="007D4CED" w:rsidRDefault="007D4CED" w:rsidP="007D4CED">
      <w:pPr>
        <w:numPr>
          <w:ilvl w:val="0"/>
          <w:numId w:val="6"/>
        </w:numPr>
        <w:ind w:left="1134"/>
        <w:rPr>
          <w:rFonts w:cs="Arial"/>
          <w:bCs/>
          <w:sz w:val="22"/>
        </w:rPr>
      </w:pPr>
      <w:r>
        <w:rPr>
          <w:rFonts w:cs="Arial"/>
          <w:bCs/>
          <w:sz w:val="22"/>
        </w:rPr>
        <w:t>Pendle Police Station</w:t>
      </w:r>
    </w:p>
    <w:p w14:paraId="31346244" w14:textId="420106F3" w:rsidR="007D4CED" w:rsidRPr="008C51BD" w:rsidRDefault="007D4CED" w:rsidP="007D4CED">
      <w:pPr>
        <w:numPr>
          <w:ilvl w:val="0"/>
          <w:numId w:val="6"/>
        </w:numPr>
        <w:spacing w:after="120"/>
        <w:ind w:left="1134"/>
        <w:rPr>
          <w:rFonts w:cs="Arial"/>
          <w:bCs/>
          <w:sz w:val="22"/>
        </w:rPr>
      </w:pPr>
      <w:r>
        <w:rPr>
          <w:rFonts w:cs="Arial"/>
          <w:bCs/>
          <w:sz w:val="22"/>
        </w:rPr>
        <w:t>Chorley Police Station</w:t>
      </w:r>
    </w:p>
    <w:p w14:paraId="719BD4AF" w14:textId="7021C441" w:rsidR="006A30ED" w:rsidRDefault="006A30ED" w:rsidP="008C51BD">
      <w:pPr>
        <w:numPr>
          <w:ilvl w:val="1"/>
          <w:numId w:val="3"/>
        </w:numPr>
        <w:spacing w:after="120"/>
        <w:jc w:val="both"/>
        <w:rPr>
          <w:rFonts w:cs="Arial"/>
          <w:bCs/>
          <w:sz w:val="22"/>
        </w:rPr>
      </w:pPr>
      <w:r>
        <w:rPr>
          <w:rFonts w:cs="Arial"/>
          <w:bCs/>
          <w:sz w:val="22"/>
        </w:rPr>
        <w:t xml:space="preserve">The detailed capital programme is available here: </w:t>
      </w:r>
      <w:hyperlink r:id="rId15" w:history="1">
        <w:r w:rsidRPr="006A30ED">
          <w:rPr>
            <w:rFonts w:ascii="Calibri" w:eastAsia="Calibri" w:hAnsi="Calibri" w:cs="Times New Roman"/>
            <w:color w:val="0000FF"/>
            <w:sz w:val="22"/>
            <w:u w:val="single"/>
            <w:lang w:eastAsia="en-US"/>
          </w:rPr>
          <w:t>Revenue Budget and Capital Programme 2026.27</w:t>
        </w:r>
      </w:hyperlink>
    </w:p>
    <w:p w14:paraId="53D23FE8" w14:textId="52B129C2" w:rsidR="008C51BD" w:rsidRPr="008C51BD" w:rsidRDefault="008C51BD" w:rsidP="008C51BD">
      <w:pPr>
        <w:numPr>
          <w:ilvl w:val="1"/>
          <w:numId w:val="3"/>
        </w:numPr>
        <w:spacing w:after="120"/>
        <w:jc w:val="both"/>
        <w:rPr>
          <w:rFonts w:cs="Arial"/>
          <w:bCs/>
          <w:sz w:val="22"/>
        </w:rPr>
      </w:pPr>
      <w:r w:rsidRPr="008C51BD">
        <w:rPr>
          <w:rFonts w:cs="Arial"/>
          <w:bCs/>
          <w:sz w:val="22"/>
        </w:rPr>
        <w:t>The financing available to support expenditure arises from the sale of property which generates a capital receipt, the use of ear-marked revenue reserves, contributions from the revenue budget and borrowing.</w:t>
      </w:r>
    </w:p>
    <w:p w14:paraId="43EA93A1" w14:textId="77777777" w:rsidR="008C51BD" w:rsidRPr="008C51BD" w:rsidRDefault="008C51BD" w:rsidP="008C51BD">
      <w:pPr>
        <w:numPr>
          <w:ilvl w:val="1"/>
          <w:numId w:val="3"/>
        </w:numPr>
        <w:spacing w:after="120"/>
        <w:jc w:val="both"/>
        <w:rPr>
          <w:rFonts w:cs="Arial"/>
          <w:bCs/>
          <w:sz w:val="22"/>
        </w:rPr>
      </w:pPr>
      <w:r w:rsidRPr="008C51BD">
        <w:rPr>
          <w:rFonts w:cs="Arial"/>
          <w:bCs/>
          <w:sz w:val="22"/>
        </w:rPr>
        <w:t>Funding for the cost of ESN is under discussion with the Home Office. If government support is not provided the impact for Lancashire is significant requiring substantial contributions from the revenue budget to meet the cost of the scheme.</w:t>
      </w:r>
    </w:p>
    <w:p w14:paraId="192E53FE" w14:textId="77777777" w:rsidR="008C51BD" w:rsidRPr="008C51BD" w:rsidRDefault="008C51BD" w:rsidP="008C51BD">
      <w:pPr>
        <w:numPr>
          <w:ilvl w:val="1"/>
          <w:numId w:val="3"/>
        </w:numPr>
        <w:spacing w:after="120"/>
        <w:jc w:val="both"/>
        <w:rPr>
          <w:rFonts w:cs="Arial"/>
          <w:bCs/>
          <w:sz w:val="22"/>
        </w:rPr>
      </w:pPr>
      <w:r w:rsidRPr="008C51BD">
        <w:rPr>
          <w:rFonts w:cs="Arial"/>
          <w:bCs/>
          <w:sz w:val="22"/>
        </w:rPr>
        <w:t>The capital programme also impacts on revenue expenditure from three main sources:</w:t>
      </w:r>
    </w:p>
    <w:p w14:paraId="2158FC36" w14:textId="77777777" w:rsidR="008C51BD" w:rsidRPr="008C51BD" w:rsidRDefault="008C51BD" w:rsidP="008C51BD">
      <w:pPr>
        <w:numPr>
          <w:ilvl w:val="2"/>
          <w:numId w:val="3"/>
        </w:numPr>
        <w:spacing w:after="120"/>
        <w:rPr>
          <w:rFonts w:cs="Arial"/>
          <w:sz w:val="22"/>
        </w:rPr>
      </w:pPr>
      <w:r w:rsidRPr="008C51BD">
        <w:rPr>
          <w:rFonts w:cs="Arial"/>
          <w:sz w:val="22"/>
        </w:rPr>
        <w:t>capital financing charges and the impact of borrowing particularly for long term assets (buildings)</w:t>
      </w:r>
    </w:p>
    <w:p w14:paraId="6DD05B49" w14:textId="77777777" w:rsidR="008C51BD" w:rsidRPr="008C51BD" w:rsidRDefault="008C51BD" w:rsidP="008C51BD">
      <w:pPr>
        <w:numPr>
          <w:ilvl w:val="2"/>
          <w:numId w:val="3"/>
        </w:numPr>
        <w:spacing w:after="120"/>
        <w:rPr>
          <w:rFonts w:cs="Arial"/>
          <w:sz w:val="22"/>
        </w:rPr>
      </w:pPr>
      <w:r w:rsidRPr="008C51BD">
        <w:rPr>
          <w:rFonts w:cs="Arial"/>
          <w:sz w:val="22"/>
        </w:rPr>
        <w:t>the use of revenue resources to directly finance capital investment, and</w:t>
      </w:r>
    </w:p>
    <w:p w14:paraId="6D4AFE25" w14:textId="77777777" w:rsidR="008C51BD" w:rsidRPr="008C51BD" w:rsidRDefault="008C51BD" w:rsidP="008C51BD">
      <w:pPr>
        <w:numPr>
          <w:ilvl w:val="2"/>
          <w:numId w:val="3"/>
        </w:numPr>
        <w:spacing w:after="120"/>
        <w:rPr>
          <w:rFonts w:cs="Arial"/>
          <w:sz w:val="22"/>
        </w:rPr>
      </w:pPr>
      <w:r w:rsidRPr="008C51BD">
        <w:rPr>
          <w:rFonts w:cs="Arial"/>
          <w:sz w:val="22"/>
        </w:rPr>
        <w:t>revenue consequences arising from capital expenditure (computer hardware/software maintenance costs and running costs of new builds)</w:t>
      </w:r>
    </w:p>
    <w:p w14:paraId="7104D0BE" w14:textId="2DFE420A" w:rsidR="008C51BD" w:rsidRPr="008C51BD" w:rsidRDefault="008C51BD" w:rsidP="008C51BD">
      <w:pPr>
        <w:numPr>
          <w:ilvl w:val="1"/>
          <w:numId w:val="3"/>
        </w:numPr>
        <w:spacing w:after="120"/>
        <w:jc w:val="both"/>
        <w:rPr>
          <w:rFonts w:cs="Arial"/>
          <w:bCs/>
          <w:sz w:val="22"/>
        </w:rPr>
      </w:pPr>
      <w:r w:rsidRPr="008C51BD">
        <w:rPr>
          <w:rFonts w:cs="Arial"/>
          <w:bCs/>
          <w:sz w:val="22"/>
        </w:rPr>
        <w:t>The impact of the capital programme has been reflected in the Revenue Budget for 20</w:t>
      </w:r>
      <w:r w:rsidR="006A30ED">
        <w:rPr>
          <w:rFonts w:cs="Arial"/>
          <w:bCs/>
          <w:sz w:val="22"/>
        </w:rPr>
        <w:t>26/27</w:t>
      </w:r>
      <w:r w:rsidRPr="008C51BD">
        <w:rPr>
          <w:rFonts w:cs="Arial"/>
          <w:bCs/>
          <w:sz w:val="22"/>
        </w:rPr>
        <w:t xml:space="preserve"> and in the Medium-Term Financial Strategy (MTFS) to 202</w:t>
      </w:r>
      <w:r w:rsidR="006A30ED">
        <w:rPr>
          <w:rFonts w:cs="Arial"/>
          <w:bCs/>
          <w:sz w:val="22"/>
        </w:rPr>
        <w:t>8/29</w:t>
      </w:r>
      <w:r w:rsidRPr="008C51BD">
        <w:rPr>
          <w:rFonts w:cs="Arial"/>
          <w:bCs/>
          <w:sz w:val="22"/>
        </w:rPr>
        <w:t>.</w:t>
      </w:r>
    </w:p>
    <w:p w14:paraId="60C8FA3D" w14:textId="77777777" w:rsidR="008C51BD" w:rsidRDefault="008C51BD" w:rsidP="008C51BD">
      <w:pPr>
        <w:numPr>
          <w:ilvl w:val="1"/>
          <w:numId w:val="3"/>
        </w:numPr>
        <w:spacing w:after="120"/>
        <w:jc w:val="both"/>
        <w:rPr>
          <w:rFonts w:cs="Arial"/>
          <w:bCs/>
          <w:sz w:val="22"/>
        </w:rPr>
      </w:pPr>
      <w:r w:rsidRPr="008C51BD">
        <w:rPr>
          <w:rFonts w:cs="Arial"/>
          <w:bCs/>
          <w:sz w:val="22"/>
        </w:rPr>
        <w:t>The investment programme is financed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1012"/>
        <w:gridCol w:w="1012"/>
        <w:gridCol w:w="1012"/>
        <w:gridCol w:w="1012"/>
        <w:gridCol w:w="1012"/>
      </w:tblGrid>
      <w:tr w:rsidR="006A30ED" w:rsidRPr="006A30ED" w14:paraId="705014AE" w14:textId="77777777" w:rsidTr="00F444FB">
        <w:trPr>
          <w:trHeight w:val="227"/>
          <w:jc w:val="center"/>
        </w:trPr>
        <w:tc>
          <w:tcPr>
            <w:tcW w:w="0" w:type="auto"/>
            <w:noWrap/>
            <w:vAlign w:val="bottom"/>
            <w:hideMark/>
          </w:tcPr>
          <w:p w14:paraId="2E1EA81F" w14:textId="77777777" w:rsidR="006A30ED" w:rsidRPr="006A30ED" w:rsidRDefault="006A30ED" w:rsidP="006A30ED">
            <w:pPr>
              <w:rPr>
                <w:rFonts w:cs="Arial"/>
                <w:sz w:val="22"/>
              </w:rPr>
            </w:pPr>
          </w:p>
        </w:tc>
        <w:tc>
          <w:tcPr>
            <w:tcW w:w="0" w:type="auto"/>
            <w:noWrap/>
            <w:vAlign w:val="center"/>
            <w:hideMark/>
          </w:tcPr>
          <w:p w14:paraId="69248035" w14:textId="77777777" w:rsidR="006A30ED" w:rsidRPr="006A30ED" w:rsidRDefault="006A30ED" w:rsidP="006A30ED">
            <w:pPr>
              <w:jc w:val="center"/>
              <w:rPr>
                <w:rFonts w:cs="Arial"/>
                <w:b/>
                <w:sz w:val="22"/>
              </w:rPr>
            </w:pPr>
            <w:r w:rsidRPr="006A30ED">
              <w:rPr>
                <w:rFonts w:cs="Arial"/>
                <w:b/>
                <w:sz w:val="22"/>
              </w:rPr>
              <w:t>2026/27</w:t>
            </w:r>
          </w:p>
        </w:tc>
        <w:tc>
          <w:tcPr>
            <w:tcW w:w="0" w:type="auto"/>
            <w:noWrap/>
            <w:vAlign w:val="center"/>
            <w:hideMark/>
          </w:tcPr>
          <w:p w14:paraId="38574E04" w14:textId="77777777" w:rsidR="006A30ED" w:rsidRPr="006A30ED" w:rsidRDefault="006A30ED" w:rsidP="006A30ED">
            <w:pPr>
              <w:jc w:val="center"/>
              <w:rPr>
                <w:rFonts w:cs="Arial"/>
                <w:b/>
                <w:i/>
                <w:sz w:val="22"/>
              </w:rPr>
            </w:pPr>
            <w:r w:rsidRPr="006A30ED">
              <w:rPr>
                <w:rFonts w:cs="Arial"/>
                <w:b/>
                <w:sz w:val="22"/>
              </w:rPr>
              <w:t>2027/28</w:t>
            </w:r>
          </w:p>
        </w:tc>
        <w:tc>
          <w:tcPr>
            <w:tcW w:w="0" w:type="auto"/>
            <w:noWrap/>
            <w:vAlign w:val="center"/>
            <w:hideMark/>
          </w:tcPr>
          <w:p w14:paraId="0858C45A" w14:textId="77777777" w:rsidR="006A30ED" w:rsidRPr="006A30ED" w:rsidRDefault="006A30ED" w:rsidP="006A30ED">
            <w:pPr>
              <w:jc w:val="center"/>
              <w:rPr>
                <w:rFonts w:cs="Arial"/>
                <w:b/>
                <w:i/>
                <w:sz w:val="22"/>
              </w:rPr>
            </w:pPr>
            <w:r w:rsidRPr="006A30ED">
              <w:rPr>
                <w:rFonts w:cs="Arial"/>
                <w:b/>
                <w:sz w:val="22"/>
              </w:rPr>
              <w:t>2028/29</w:t>
            </w:r>
          </w:p>
        </w:tc>
        <w:tc>
          <w:tcPr>
            <w:tcW w:w="0" w:type="auto"/>
            <w:vAlign w:val="center"/>
          </w:tcPr>
          <w:p w14:paraId="50715C74" w14:textId="77777777" w:rsidR="006A30ED" w:rsidRPr="006A30ED" w:rsidRDefault="006A30ED" w:rsidP="006A30ED">
            <w:pPr>
              <w:jc w:val="center"/>
              <w:rPr>
                <w:rFonts w:cs="Arial"/>
                <w:b/>
                <w:i/>
                <w:sz w:val="22"/>
              </w:rPr>
            </w:pPr>
            <w:r w:rsidRPr="006A30ED">
              <w:rPr>
                <w:rFonts w:cs="Arial"/>
                <w:b/>
                <w:sz w:val="22"/>
              </w:rPr>
              <w:t>2029/30</w:t>
            </w:r>
          </w:p>
        </w:tc>
        <w:tc>
          <w:tcPr>
            <w:tcW w:w="0" w:type="auto"/>
            <w:noWrap/>
            <w:vAlign w:val="center"/>
            <w:hideMark/>
          </w:tcPr>
          <w:p w14:paraId="27F4AAFB" w14:textId="77777777" w:rsidR="006A30ED" w:rsidRPr="006A30ED" w:rsidRDefault="006A30ED" w:rsidP="006A30ED">
            <w:pPr>
              <w:jc w:val="center"/>
              <w:rPr>
                <w:rFonts w:cs="Arial"/>
                <w:b/>
                <w:i/>
                <w:sz w:val="22"/>
              </w:rPr>
            </w:pPr>
            <w:r w:rsidRPr="006A30ED">
              <w:rPr>
                <w:rFonts w:cs="Arial"/>
                <w:b/>
                <w:i/>
                <w:sz w:val="22"/>
              </w:rPr>
              <w:t>Total</w:t>
            </w:r>
          </w:p>
        </w:tc>
      </w:tr>
      <w:tr w:rsidR="006A30ED" w:rsidRPr="006A30ED" w14:paraId="5ED15C19" w14:textId="77777777" w:rsidTr="00F444FB">
        <w:trPr>
          <w:trHeight w:val="227"/>
          <w:jc w:val="center"/>
        </w:trPr>
        <w:tc>
          <w:tcPr>
            <w:tcW w:w="0" w:type="auto"/>
            <w:noWrap/>
            <w:vAlign w:val="bottom"/>
            <w:hideMark/>
          </w:tcPr>
          <w:p w14:paraId="4B364B93" w14:textId="77777777" w:rsidR="006A30ED" w:rsidRPr="006A30ED" w:rsidRDefault="006A30ED" w:rsidP="006A30ED">
            <w:pPr>
              <w:rPr>
                <w:rFonts w:cs="Arial"/>
                <w:sz w:val="22"/>
              </w:rPr>
            </w:pPr>
          </w:p>
        </w:tc>
        <w:tc>
          <w:tcPr>
            <w:tcW w:w="0" w:type="auto"/>
            <w:noWrap/>
            <w:vAlign w:val="center"/>
            <w:hideMark/>
          </w:tcPr>
          <w:p w14:paraId="7CFE23AF" w14:textId="77777777" w:rsidR="006A30ED" w:rsidRPr="006A30ED" w:rsidRDefault="006A30ED" w:rsidP="006A30ED">
            <w:pPr>
              <w:jc w:val="center"/>
              <w:rPr>
                <w:rFonts w:cs="Arial"/>
                <w:b/>
                <w:sz w:val="22"/>
              </w:rPr>
            </w:pPr>
            <w:r w:rsidRPr="006A30ED">
              <w:rPr>
                <w:rFonts w:cs="Arial"/>
                <w:b/>
                <w:sz w:val="22"/>
              </w:rPr>
              <w:t>£m</w:t>
            </w:r>
          </w:p>
        </w:tc>
        <w:tc>
          <w:tcPr>
            <w:tcW w:w="0" w:type="auto"/>
            <w:noWrap/>
            <w:vAlign w:val="center"/>
            <w:hideMark/>
          </w:tcPr>
          <w:p w14:paraId="3CABF63F" w14:textId="77777777" w:rsidR="006A30ED" w:rsidRPr="006A30ED" w:rsidRDefault="006A30ED" w:rsidP="006A30ED">
            <w:pPr>
              <w:jc w:val="center"/>
              <w:rPr>
                <w:rFonts w:cs="Arial"/>
                <w:b/>
                <w:sz w:val="22"/>
              </w:rPr>
            </w:pPr>
            <w:r w:rsidRPr="006A30ED">
              <w:rPr>
                <w:rFonts w:cs="Arial"/>
                <w:b/>
                <w:sz w:val="22"/>
              </w:rPr>
              <w:t>£m</w:t>
            </w:r>
          </w:p>
        </w:tc>
        <w:tc>
          <w:tcPr>
            <w:tcW w:w="0" w:type="auto"/>
            <w:noWrap/>
            <w:vAlign w:val="center"/>
            <w:hideMark/>
          </w:tcPr>
          <w:p w14:paraId="2C12AA87" w14:textId="77777777" w:rsidR="006A30ED" w:rsidRPr="006A30ED" w:rsidRDefault="006A30ED" w:rsidP="006A30ED">
            <w:pPr>
              <w:jc w:val="center"/>
              <w:rPr>
                <w:rFonts w:cs="Arial"/>
                <w:b/>
                <w:sz w:val="22"/>
              </w:rPr>
            </w:pPr>
            <w:r w:rsidRPr="006A30ED">
              <w:rPr>
                <w:rFonts w:cs="Arial"/>
                <w:b/>
                <w:sz w:val="22"/>
              </w:rPr>
              <w:t>£m</w:t>
            </w:r>
          </w:p>
        </w:tc>
        <w:tc>
          <w:tcPr>
            <w:tcW w:w="0" w:type="auto"/>
            <w:vAlign w:val="center"/>
          </w:tcPr>
          <w:p w14:paraId="6324B623" w14:textId="77777777" w:rsidR="006A30ED" w:rsidRPr="006A30ED" w:rsidRDefault="006A30ED" w:rsidP="006A30ED">
            <w:pPr>
              <w:jc w:val="center"/>
              <w:rPr>
                <w:rFonts w:cs="Arial"/>
                <w:b/>
                <w:sz w:val="22"/>
              </w:rPr>
            </w:pPr>
            <w:r w:rsidRPr="006A30ED">
              <w:rPr>
                <w:rFonts w:cs="Arial"/>
                <w:b/>
                <w:sz w:val="22"/>
              </w:rPr>
              <w:t>£m</w:t>
            </w:r>
          </w:p>
        </w:tc>
        <w:tc>
          <w:tcPr>
            <w:tcW w:w="0" w:type="auto"/>
            <w:noWrap/>
            <w:vAlign w:val="center"/>
            <w:hideMark/>
          </w:tcPr>
          <w:p w14:paraId="126C464B" w14:textId="77777777" w:rsidR="006A30ED" w:rsidRPr="006A30ED" w:rsidRDefault="006A30ED" w:rsidP="006A30ED">
            <w:pPr>
              <w:jc w:val="center"/>
              <w:rPr>
                <w:rFonts w:cs="Arial"/>
                <w:b/>
                <w:i/>
                <w:sz w:val="22"/>
              </w:rPr>
            </w:pPr>
            <w:r w:rsidRPr="006A30ED">
              <w:rPr>
                <w:rFonts w:cs="Arial"/>
                <w:b/>
                <w:i/>
                <w:sz w:val="22"/>
              </w:rPr>
              <w:t>£m</w:t>
            </w:r>
          </w:p>
        </w:tc>
      </w:tr>
      <w:tr w:rsidR="006A30ED" w:rsidRPr="006A30ED" w14:paraId="77B36545" w14:textId="77777777" w:rsidTr="00F444FB">
        <w:trPr>
          <w:trHeight w:val="227"/>
          <w:jc w:val="center"/>
        </w:trPr>
        <w:tc>
          <w:tcPr>
            <w:tcW w:w="0" w:type="auto"/>
            <w:noWrap/>
            <w:vAlign w:val="center"/>
            <w:hideMark/>
          </w:tcPr>
          <w:p w14:paraId="20C71568" w14:textId="77777777" w:rsidR="006A30ED" w:rsidRPr="006A30ED" w:rsidRDefault="006A30ED" w:rsidP="006A30ED">
            <w:pPr>
              <w:rPr>
                <w:rFonts w:cs="Arial"/>
                <w:color w:val="000000"/>
                <w:sz w:val="22"/>
              </w:rPr>
            </w:pPr>
            <w:r w:rsidRPr="006A30ED">
              <w:rPr>
                <w:rFonts w:cs="Arial"/>
                <w:color w:val="000000"/>
                <w:sz w:val="22"/>
              </w:rPr>
              <w:t>Capital Receipts</w:t>
            </w:r>
          </w:p>
        </w:tc>
        <w:tc>
          <w:tcPr>
            <w:tcW w:w="0" w:type="auto"/>
            <w:noWrap/>
            <w:vAlign w:val="center"/>
          </w:tcPr>
          <w:p w14:paraId="108D06F5" w14:textId="77777777" w:rsidR="006A30ED" w:rsidRPr="006A30ED" w:rsidRDefault="006A30ED" w:rsidP="006A30ED">
            <w:pPr>
              <w:jc w:val="right"/>
              <w:rPr>
                <w:rFonts w:cs="Arial"/>
                <w:color w:val="000000"/>
                <w:sz w:val="22"/>
              </w:rPr>
            </w:pPr>
            <w:r w:rsidRPr="006A30ED">
              <w:rPr>
                <w:rFonts w:cs="Arial"/>
                <w:color w:val="000000"/>
                <w:sz w:val="22"/>
              </w:rPr>
              <w:t>0.280</w:t>
            </w:r>
          </w:p>
        </w:tc>
        <w:tc>
          <w:tcPr>
            <w:tcW w:w="0" w:type="auto"/>
            <w:noWrap/>
            <w:vAlign w:val="center"/>
          </w:tcPr>
          <w:p w14:paraId="0D50A61F" w14:textId="77777777" w:rsidR="006A30ED" w:rsidRPr="006A30ED" w:rsidRDefault="006A30ED" w:rsidP="006A30ED">
            <w:pPr>
              <w:jc w:val="right"/>
              <w:rPr>
                <w:rFonts w:cs="Arial"/>
                <w:color w:val="000000"/>
                <w:sz w:val="22"/>
              </w:rPr>
            </w:pPr>
            <w:r w:rsidRPr="006A30ED">
              <w:rPr>
                <w:rFonts w:cs="Arial"/>
                <w:color w:val="000000"/>
                <w:sz w:val="22"/>
              </w:rPr>
              <w:t>0.585</w:t>
            </w:r>
          </w:p>
        </w:tc>
        <w:tc>
          <w:tcPr>
            <w:tcW w:w="0" w:type="auto"/>
            <w:noWrap/>
            <w:vAlign w:val="center"/>
          </w:tcPr>
          <w:p w14:paraId="6A01A0D1" w14:textId="77777777" w:rsidR="006A30ED" w:rsidRPr="006A30ED" w:rsidRDefault="006A30ED" w:rsidP="006A30ED">
            <w:pPr>
              <w:jc w:val="right"/>
              <w:rPr>
                <w:rFonts w:cs="Arial"/>
                <w:color w:val="000000"/>
                <w:sz w:val="22"/>
              </w:rPr>
            </w:pPr>
            <w:r w:rsidRPr="006A30ED">
              <w:rPr>
                <w:rFonts w:cs="Arial"/>
                <w:color w:val="000000"/>
                <w:sz w:val="22"/>
              </w:rPr>
              <w:t>0.500</w:t>
            </w:r>
          </w:p>
        </w:tc>
        <w:tc>
          <w:tcPr>
            <w:tcW w:w="0" w:type="auto"/>
            <w:vAlign w:val="center"/>
          </w:tcPr>
          <w:p w14:paraId="5B835C8C" w14:textId="77777777" w:rsidR="006A30ED" w:rsidRPr="006A30ED" w:rsidRDefault="006A30ED" w:rsidP="006A30ED">
            <w:pPr>
              <w:jc w:val="right"/>
              <w:rPr>
                <w:rFonts w:cs="Arial"/>
                <w:color w:val="000000"/>
                <w:sz w:val="22"/>
              </w:rPr>
            </w:pPr>
            <w:r w:rsidRPr="006A30ED">
              <w:rPr>
                <w:rFonts w:cs="Arial"/>
                <w:color w:val="000000"/>
                <w:sz w:val="22"/>
              </w:rPr>
              <w:t>0</w:t>
            </w:r>
          </w:p>
        </w:tc>
        <w:tc>
          <w:tcPr>
            <w:tcW w:w="0" w:type="auto"/>
            <w:noWrap/>
            <w:vAlign w:val="center"/>
          </w:tcPr>
          <w:p w14:paraId="598252E8" w14:textId="77777777" w:rsidR="006A30ED" w:rsidRPr="006A30ED" w:rsidRDefault="006A30ED" w:rsidP="006A30ED">
            <w:pPr>
              <w:jc w:val="right"/>
              <w:rPr>
                <w:rFonts w:cs="Arial"/>
                <w:b/>
                <w:i/>
                <w:color w:val="000000"/>
                <w:sz w:val="22"/>
              </w:rPr>
            </w:pPr>
            <w:r w:rsidRPr="006A30ED">
              <w:rPr>
                <w:rFonts w:cs="Arial"/>
                <w:b/>
                <w:i/>
                <w:color w:val="000000"/>
                <w:sz w:val="22"/>
              </w:rPr>
              <w:fldChar w:fldCharType="begin"/>
            </w:r>
            <w:r w:rsidRPr="006A30ED">
              <w:rPr>
                <w:rFonts w:cs="Arial"/>
                <w:b/>
                <w:i/>
                <w:color w:val="000000"/>
                <w:sz w:val="22"/>
              </w:rPr>
              <w:instrText xml:space="preserve"> =SUM(LEFT) </w:instrText>
            </w:r>
            <w:r w:rsidRPr="006A30ED">
              <w:rPr>
                <w:rFonts w:cs="Arial"/>
                <w:b/>
                <w:i/>
                <w:color w:val="000000"/>
                <w:sz w:val="22"/>
              </w:rPr>
              <w:fldChar w:fldCharType="separate"/>
            </w:r>
            <w:r w:rsidRPr="006A30ED">
              <w:rPr>
                <w:rFonts w:cs="Arial"/>
                <w:b/>
                <w:i/>
                <w:noProof/>
                <w:color w:val="000000"/>
                <w:sz w:val="22"/>
              </w:rPr>
              <w:t>1.365</w:t>
            </w:r>
            <w:r w:rsidRPr="006A30ED">
              <w:rPr>
                <w:rFonts w:cs="Arial"/>
                <w:b/>
                <w:i/>
                <w:color w:val="000000"/>
                <w:sz w:val="22"/>
              </w:rPr>
              <w:fldChar w:fldCharType="end"/>
            </w:r>
          </w:p>
        </w:tc>
      </w:tr>
      <w:tr w:rsidR="006A30ED" w:rsidRPr="006A30ED" w14:paraId="6AF59DDE" w14:textId="77777777" w:rsidTr="00F444FB">
        <w:trPr>
          <w:trHeight w:val="227"/>
          <w:jc w:val="center"/>
        </w:trPr>
        <w:tc>
          <w:tcPr>
            <w:tcW w:w="0" w:type="auto"/>
            <w:noWrap/>
            <w:vAlign w:val="center"/>
            <w:hideMark/>
          </w:tcPr>
          <w:p w14:paraId="384103D9" w14:textId="77777777" w:rsidR="006A30ED" w:rsidRPr="006A30ED" w:rsidRDefault="006A30ED" w:rsidP="006A30ED">
            <w:pPr>
              <w:rPr>
                <w:rFonts w:cs="Arial"/>
                <w:color w:val="000000"/>
                <w:sz w:val="22"/>
              </w:rPr>
            </w:pPr>
            <w:r w:rsidRPr="006A30ED">
              <w:rPr>
                <w:rFonts w:cs="Arial"/>
                <w:color w:val="000000"/>
                <w:sz w:val="22"/>
              </w:rPr>
              <w:t>Revenue Contributions</w:t>
            </w:r>
          </w:p>
        </w:tc>
        <w:tc>
          <w:tcPr>
            <w:tcW w:w="0" w:type="auto"/>
            <w:noWrap/>
            <w:vAlign w:val="center"/>
          </w:tcPr>
          <w:p w14:paraId="313D785F" w14:textId="77777777" w:rsidR="006A30ED" w:rsidRPr="006A30ED" w:rsidRDefault="006A30ED" w:rsidP="006A30ED">
            <w:pPr>
              <w:jc w:val="right"/>
              <w:rPr>
                <w:rFonts w:cs="Arial"/>
                <w:color w:val="000000"/>
                <w:sz w:val="22"/>
              </w:rPr>
            </w:pPr>
            <w:r w:rsidRPr="006A30ED">
              <w:rPr>
                <w:rFonts w:cs="Arial"/>
                <w:color w:val="000000"/>
                <w:sz w:val="22"/>
              </w:rPr>
              <w:t>13.361</w:t>
            </w:r>
          </w:p>
        </w:tc>
        <w:tc>
          <w:tcPr>
            <w:tcW w:w="0" w:type="auto"/>
            <w:noWrap/>
            <w:vAlign w:val="center"/>
          </w:tcPr>
          <w:p w14:paraId="1E3F9481" w14:textId="77777777" w:rsidR="006A30ED" w:rsidRPr="006A30ED" w:rsidRDefault="006A30ED" w:rsidP="006A30ED">
            <w:pPr>
              <w:jc w:val="right"/>
              <w:rPr>
                <w:rFonts w:cs="Arial"/>
                <w:color w:val="000000"/>
                <w:sz w:val="22"/>
              </w:rPr>
            </w:pPr>
            <w:r w:rsidRPr="006A30ED">
              <w:rPr>
                <w:rFonts w:cs="Arial"/>
                <w:color w:val="000000"/>
                <w:sz w:val="22"/>
              </w:rPr>
              <w:t>12.638</w:t>
            </w:r>
          </w:p>
        </w:tc>
        <w:tc>
          <w:tcPr>
            <w:tcW w:w="0" w:type="auto"/>
            <w:noWrap/>
            <w:vAlign w:val="center"/>
          </w:tcPr>
          <w:p w14:paraId="0830D0FD" w14:textId="77777777" w:rsidR="006A30ED" w:rsidRPr="006A30ED" w:rsidRDefault="006A30ED" w:rsidP="006A30ED">
            <w:pPr>
              <w:jc w:val="right"/>
              <w:rPr>
                <w:rFonts w:cs="Arial"/>
                <w:color w:val="000000"/>
                <w:sz w:val="22"/>
              </w:rPr>
            </w:pPr>
            <w:r w:rsidRPr="006A30ED">
              <w:rPr>
                <w:rFonts w:cs="Arial"/>
                <w:color w:val="000000"/>
                <w:sz w:val="22"/>
              </w:rPr>
              <w:t>12.790</w:t>
            </w:r>
          </w:p>
        </w:tc>
        <w:tc>
          <w:tcPr>
            <w:tcW w:w="0" w:type="auto"/>
            <w:vAlign w:val="center"/>
          </w:tcPr>
          <w:p w14:paraId="53CE2F42" w14:textId="77777777" w:rsidR="006A30ED" w:rsidRPr="006A30ED" w:rsidRDefault="006A30ED" w:rsidP="006A30ED">
            <w:pPr>
              <w:jc w:val="right"/>
              <w:rPr>
                <w:rFonts w:cs="Arial"/>
                <w:color w:val="000000"/>
                <w:sz w:val="22"/>
              </w:rPr>
            </w:pPr>
            <w:r w:rsidRPr="006A30ED">
              <w:rPr>
                <w:rFonts w:cs="Arial"/>
                <w:color w:val="000000"/>
                <w:sz w:val="22"/>
              </w:rPr>
              <w:t>12.490</w:t>
            </w:r>
          </w:p>
        </w:tc>
        <w:tc>
          <w:tcPr>
            <w:tcW w:w="0" w:type="auto"/>
            <w:noWrap/>
            <w:vAlign w:val="center"/>
          </w:tcPr>
          <w:p w14:paraId="27F7DD68" w14:textId="77777777" w:rsidR="006A30ED" w:rsidRPr="006A30ED" w:rsidRDefault="006A30ED" w:rsidP="006A30ED">
            <w:pPr>
              <w:jc w:val="right"/>
              <w:rPr>
                <w:rFonts w:cs="Arial"/>
                <w:b/>
                <w:i/>
                <w:color w:val="000000"/>
                <w:sz w:val="22"/>
              </w:rPr>
            </w:pPr>
            <w:r w:rsidRPr="006A30ED">
              <w:rPr>
                <w:rFonts w:cs="Arial"/>
                <w:b/>
                <w:i/>
                <w:color w:val="000000"/>
                <w:sz w:val="22"/>
              </w:rPr>
              <w:fldChar w:fldCharType="begin"/>
            </w:r>
            <w:r w:rsidRPr="006A30ED">
              <w:rPr>
                <w:rFonts w:cs="Arial"/>
                <w:b/>
                <w:i/>
                <w:color w:val="000000"/>
                <w:sz w:val="22"/>
              </w:rPr>
              <w:instrText xml:space="preserve"> =SUM(left) </w:instrText>
            </w:r>
            <w:r w:rsidRPr="006A30ED">
              <w:rPr>
                <w:rFonts w:cs="Arial"/>
                <w:b/>
                <w:i/>
                <w:color w:val="000000"/>
                <w:sz w:val="22"/>
              </w:rPr>
              <w:fldChar w:fldCharType="separate"/>
            </w:r>
            <w:r w:rsidRPr="006A30ED">
              <w:rPr>
                <w:rFonts w:cs="Arial"/>
                <w:b/>
                <w:i/>
                <w:noProof/>
                <w:color w:val="000000"/>
                <w:sz w:val="22"/>
              </w:rPr>
              <w:t>51.279</w:t>
            </w:r>
            <w:r w:rsidRPr="006A30ED">
              <w:rPr>
                <w:rFonts w:cs="Arial"/>
                <w:b/>
                <w:i/>
                <w:color w:val="000000"/>
                <w:sz w:val="22"/>
              </w:rPr>
              <w:fldChar w:fldCharType="end"/>
            </w:r>
          </w:p>
        </w:tc>
      </w:tr>
      <w:tr w:rsidR="006A30ED" w:rsidRPr="006A30ED" w14:paraId="5CBC582D" w14:textId="77777777" w:rsidTr="00F444FB">
        <w:trPr>
          <w:trHeight w:val="227"/>
          <w:jc w:val="center"/>
        </w:trPr>
        <w:tc>
          <w:tcPr>
            <w:tcW w:w="0" w:type="auto"/>
            <w:noWrap/>
            <w:vAlign w:val="center"/>
          </w:tcPr>
          <w:p w14:paraId="6BB64B9A" w14:textId="77777777" w:rsidR="006A30ED" w:rsidRPr="006A30ED" w:rsidRDefault="006A30ED" w:rsidP="006A30ED">
            <w:pPr>
              <w:rPr>
                <w:rFonts w:cs="Arial"/>
                <w:color w:val="000000"/>
                <w:sz w:val="22"/>
              </w:rPr>
            </w:pPr>
            <w:r w:rsidRPr="006A30ED">
              <w:rPr>
                <w:rFonts w:cs="Arial"/>
                <w:color w:val="000000"/>
                <w:sz w:val="22"/>
              </w:rPr>
              <w:t>Borrowing</w:t>
            </w:r>
          </w:p>
        </w:tc>
        <w:tc>
          <w:tcPr>
            <w:tcW w:w="0" w:type="auto"/>
            <w:noWrap/>
            <w:vAlign w:val="center"/>
          </w:tcPr>
          <w:p w14:paraId="4B7F39D2" w14:textId="77777777" w:rsidR="006A30ED" w:rsidRPr="006A30ED" w:rsidRDefault="006A30ED" w:rsidP="006A30ED">
            <w:pPr>
              <w:jc w:val="right"/>
              <w:rPr>
                <w:rFonts w:cs="Arial"/>
                <w:color w:val="000000"/>
                <w:sz w:val="22"/>
              </w:rPr>
            </w:pPr>
            <w:r w:rsidRPr="006A30ED">
              <w:rPr>
                <w:rFonts w:cs="Arial"/>
                <w:color w:val="000000"/>
                <w:sz w:val="22"/>
              </w:rPr>
              <w:t>39.683</w:t>
            </w:r>
          </w:p>
        </w:tc>
        <w:tc>
          <w:tcPr>
            <w:tcW w:w="0" w:type="auto"/>
            <w:noWrap/>
            <w:vAlign w:val="center"/>
          </w:tcPr>
          <w:p w14:paraId="6ADA1643" w14:textId="77777777" w:rsidR="006A30ED" w:rsidRPr="006A30ED" w:rsidRDefault="006A30ED" w:rsidP="006A30ED">
            <w:pPr>
              <w:jc w:val="right"/>
              <w:rPr>
                <w:rFonts w:cs="Arial"/>
                <w:color w:val="000000"/>
                <w:sz w:val="22"/>
              </w:rPr>
            </w:pPr>
            <w:r w:rsidRPr="006A30ED">
              <w:rPr>
                <w:rFonts w:cs="Arial"/>
                <w:color w:val="000000"/>
                <w:sz w:val="22"/>
              </w:rPr>
              <w:t>51.753</w:t>
            </w:r>
          </w:p>
        </w:tc>
        <w:tc>
          <w:tcPr>
            <w:tcW w:w="0" w:type="auto"/>
            <w:noWrap/>
            <w:vAlign w:val="center"/>
          </w:tcPr>
          <w:p w14:paraId="4B94F489" w14:textId="77777777" w:rsidR="006A30ED" w:rsidRPr="006A30ED" w:rsidRDefault="006A30ED" w:rsidP="006A30ED">
            <w:pPr>
              <w:jc w:val="right"/>
              <w:rPr>
                <w:rFonts w:cs="Arial"/>
                <w:color w:val="000000"/>
                <w:sz w:val="22"/>
              </w:rPr>
            </w:pPr>
            <w:r w:rsidRPr="006A30ED">
              <w:rPr>
                <w:rFonts w:cs="Arial"/>
                <w:color w:val="000000"/>
                <w:sz w:val="22"/>
              </w:rPr>
              <w:t>50.095</w:t>
            </w:r>
          </w:p>
        </w:tc>
        <w:tc>
          <w:tcPr>
            <w:tcW w:w="0" w:type="auto"/>
            <w:vAlign w:val="center"/>
          </w:tcPr>
          <w:p w14:paraId="2C7610B3" w14:textId="77777777" w:rsidR="006A30ED" w:rsidRPr="006A30ED" w:rsidRDefault="006A30ED" w:rsidP="006A30ED">
            <w:pPr>
              <w:jc w:val="right"/>
              <w:rPr>
                <w:rFonts w:cs="Arial"/>
                <w:color w:val="000000"/>
                <w:sz w:val="22"/>
              </w:rPr>
            </w:pPr>
            <w:r w:rsidRPr="006A30ED">
              <w:rPr>
                <w:rFonts w:cs="Arial"/>
                <w:color w:val="000000"/>
                <w:sz w:val="22"/>
              </w:rPr>
              <w:t>47.125</w:t>
            </w:r>
          </w:p>
        </w:tc>
        <w:tc>
          <w:tcPr>
            <w:tcW w:w="0" w:type="auto"/>
            <w:noWrap/>
            <w:vAlign w:val="center"/>
          </w:tcPr>
          <w:p w14:paraId="486B7034" w14:textId="77777777" w:rsidR="006A30ED" w:rsidRPr="006A30ED" w:rsidRDefault="006A30ED" w:rsidP="006A30ED">
            <w:pPr>
              <w:jc w:val="right"/>
              <w:rPr>
                <w:rFonts w:cs="Arial"/>
                <w:b/>
                <w:i/>
                <w:color w:val="000000"/>
                <w:sz w:val="22"/>
              </w:rPr>
            </w:pPr>
            <w:r w:rsidRPr="006A30ED">
              <w:rPr>
                <w:rFonts w:cs="Arial"/>
                <w:b/>
                <w:i/>
                <w:color w:val="000000"/>
                <w:sz w:val="22"/>
              </w:rPr>
              <w:fldChar w:fldCharType="begin"/>
            </w:r>
            <w:r w:rsidRPr="006A30ED">
              <w:rPr>
                <w:rFonts w:cs="Arial"/>
                <w:b/>
                <w:i/>
                <w:color w:val="000000"/>
                <w:sz w:val="22"/>
              </w:rPr>
              <w:instrText xml:space="preserve"> =SUM(left) </w:instrText>
            </w:r>
            <w:r w:rsidRPr="006A30ED">
              <w:rPr>
                <w:rFonts w:cs="Arial"/>
                <w:b/>
                <w:i/>
                <w:color w:val="000000"/>
                <w:sz w:val="22"/>
              </w:rPr>
              <w:fldChar w:fldCharType="separate"/>
            </w:r>
            <w:r w:rsidRPr="006A30ED">
              <w:rPr>
                <w:rFonts w:cs="Arial"/>
                <w:b/>
                <w:i/>
                <w:noProof/>
                <w:color w:val="000000"/>
                <w:sz w:val="22"/>
              </w:rPr>
              <w:t>188.656</w:t>
            </w:r>
            <w:r w:rsidRPr="006A30ED">
              <w:rPr>
                <w:rFonts w:cs="Arial"/>
                <w:b/>
                <w:i/>
                <w:color w:val="000000"/>
                <w:sz w:val="22"/>
              </w:rPr>
              <w:fldChar w:fldCharType="end"/>
            </w:r>
          </w:p>
        </w:tc>
      </w:tr>
      <w:tr w:rsidR="006A30ED" w:rsidRPr="006A30ED" w14:paraId="4F205219" w14:textId="77777777" w:rsidTr="00F444FB">
        <w:trPr>
          <w:trHeight w:val="227"/>
          <w:jc w:val="center"/>
        </w:trPr>
        <w:tc>
          <w:tcPr>
            <w:tcW w:w="0" w:type="auto"/>
            <w:noWrap/>
            <w:vAlign w:val="center"/>
          </w:tcPr>
          <w:p w14:paraId="408F95A8" w14:textId="77777777" w:rsidR="006A30ED" w:rsidRPr="006A30ED" w:rsidRDefault="006A30ED" w:rsidP="006A30ED">
            <w:pPr>
              <w:rPr>
                <w:rFonts w:cs="Arial"/>
                <w:color w:val="000000"/>
                <w:sz w:val="22"/>
              </w:rPr>
            </w:pPr>
            <w:r w:rsidRPr="006A30ED">
              <w:rPr>
                <w:rFonts w:cs="Arial"/>
                <w:color w:val="000000"/>
                <w:sz w:val="22"/>
              </w:rPr>
              <w:t>Funding for ESN</w:t>
            </w:r>
          </w:p>
        </w:tc>
        <w:tc>
          <w:tcPr>
            <w:tcW w:w="0" w:type="auto"/>
            <w:noWrap/>
            <w:vAlign w:val="center"/>
          </w:tcPr>
          <w:p w14:paraId="5F6D29AB" w14:textId="77777777" w:rsidR="006A30ED" w:rsidRPr="006A30ED" w:rsidRDefault="006A30ED" w:rsidP="006A30ED">
            <w:pPr>
              <w:jc w:val="right"/>
              <w:rPr>
                <w:rFonts w:cs="Arial"/>
                <w:color w:val="000000"/>
                <w:sz w:val="22"/>
              </w:rPr>
            </w:pPr>
            <w:r w:rsidRPr="006A30ED">
              <w:rPr>
                <w:rFonts w:cs="Arial"/>
                <w:color w:val="000000"/>
                <w:sz w:val="22"/>
              </w:rPr>
              <w:t>0.163</w:t>
            </w:r>
          </w:p>
        </w:tc>
        <w:tc>
          <w:tcPr>
            <w:tcW w:w="0" w:type="auto"/>
            <w:noWrap/>
            <w:vAlign w:val="center"/>
          </w:tcPr>
          <w:p w14:paraId="79E46494" w14:textId="77777777" w:rsidR="006A30ED" w:rsidRPr="006A30ED" w:rsidRDefault="006A30ED" w:rsidP="006A30ED">
            <w:pPr>
              <w:jc w:val="right"/>
              <w:rPr>
                <w:rFonts w:cs="Arial"/>
                <w:color w:val="000000"/>
                <w:sz w:val="22"/>
              </w:rPr>
            </w:pPr>
            <w:r w:rsidRPr="006A30ED">
              <w:rPr>
                <w:rFonts w:cs="Arial"/>
                <w:color w:val="000000"/>
                <w:sz w:val="22"/>
              </w:rPr>
              <w:t>0.152</w:t>
            </w:r>
          </w:p>
        </w:tc>
        <w:tc>
          <w:tcPr>
            <w:tcW w:w="0" w:type="auto"/>
            <w:noWrap/>
            <w:vAlign w:val="center"/>
          </w:tcPr>
          <w:p w14:paraId="49F36B57" w14:textId="77777777" w:rsidR="006A30ED" w:rsidRPr="006A30ED" w:rsidRDefault="006A30ED" w:rsidP="006A30ED">
            <w:pPr>
              <w:jc w:val="right"/>
              <w:rPr>
                <w:rFonts w:cs="Arial"/>
                <w:color w:val="000000"/>
                <w:sz w:val="22"/>
              </w:rPr>
            </w:pPr>
            <w:r w:rsidRPr="006A30ED">
              <w:rPr>
                <w:rFonts w:cs="Arial"/>
                <w:color w:val="000000"/>
                <w:sz w:val="22"/>
              </w:rPr>
              <w:t>9.890</w:t>
            </w:r>
          </w:p>
        </w:tc>
        <w:tc>
          <w:tcPr>
            <w:tcW w:w="0" w:type="auto"/>
            <w:vAlign w:val="center"/>
          </w:tcPr>
          <w:p w14:paraId="1A69BFE6" w14:textId="77777777" w:rsidR="006A30ED" w:rsidRPr="006A30ED" w:rsidRDefault="006A30ED" w:rsidP="006A30ED">
            <w:pPr>
              <w:jc w:val="right"/>
              <w:rPr>
                <w:rFonts w:cs="Arial"/>
                <w:color w:val="000000"/>
                <w:sz w:val="22"/>
              </w:rPr>
            </w:pPr>
            <w:r w:rsidRPr="006A30ED">
              <w:rPr>
                <w:rFonts w:cs="Arial"/>
                <w:color w:val="000000"/>
                <w:sz w:val="22"/>
              </w:rPr>
              <w:t>5.963</w:t>
            </w:r>
          </w:p>
        </w:tc>
        <w:tc>
          <w:tcPr>
            <w:tcW w:w="0" w:type="auto"/>
            <w:noWrap/>
            <w:vAlign w:val="center"/>
          </w:tcPr>
          <w:p w14:paraId="65F3A57B" w14:textId="77777777" w:rsidR="006A30ED" w:rsidRPr="006A30ED" w:rsidRDefault="006A30ED" w:rsidP="006A30ED">
            <w:pPr>
              <w:jc w:val="right"/>
              <w:rPr>
                <w:rFonts w:cs="Arial"/>
                <w:b/>
                <w:i/>
                <w:color w:val="000000"/>
                <w:sz w:val="22"/>
              </w:rPr>
            </w:pPr>
            <w:r w:rsidRPr="006A30ED">
              <w:rPr>
                <w:rFonts w:cs="Arial"/>
                <w:b/>
                <w:i/>
                <w:color w:val="000000"/>
                <w:sz w:val="22"/>
              </w:rPr>
              <w:fldChar w:fldCharType="begin"/>
            </w:r>
            <w:r w:rsidRPr="006A30ED">
              <w:rPr>
                <w:rFonts w:cs="Arial"/>
                <w:b/>
                <w:i/>
                <w:color w:val="000000"/>
                <w:sz w:val="22"/>
              </w:rPr>
              <w:instrText xml:space="preserve"> =SUM(left) </w:instrText>
            </w:r>
            <w:r w:rsidRPr="006A30ED">
              <w:rPr>
                <w:rFonts w:cs="Arial"/>
                <w:b/>
                <w:i/>
                <w:color w:val="000000"/>
                <w:sz w:val="22"/>
              </w:rPr>
              <w:fldChar w:fldCharType="separate"/>
            </w:r>
            <w:r w:rsidRPr="006A30ED">
              <w:rPr>
                <w:rFonts w:cs="Arial"/>
                <w:b/>
                <w:i/>
                <w:noProof/>
                <w:color w:val="000000"/>
                <w:sz w:val="22"/>
              </w:rPr>
              <w:t>16.168</w:t>
            </w:r>
            <w:r w:rsidRPr="006A30ED">
              <w:rPr>
                <w:rFonts w:cs="Arial"/>
                <w:b/>
                <w:i/>
                <w:color w:val="000000"/>
                <w:sz w:val="22"/>
              </w:rPr>
              <w:fldChar w:fldCharType="end"/>
            </w:r>
          </w:p>
        </w:tc>
      </w:tr>
      <w:tr w:rsidR="006A30ED" w:rsidRPr="006A30ED" w14:paraId="1CB13812" w14:textId="77777777" w:rsidTr="00F444FB">
        <w:trPr>
          <w:trHeight w:val="227"/>
          <w:jc w:val="center"/>
        </w:trPr>
        <w:tc>
          <w:tcPr>
            <w:tcW w:w="0" w:type="auto"/>
            <w:shd w:val="clear" w:color="auto" w:fill="ACB9CA"/>
            <w:noWrap/>
            <w:vAlign w:val="center"/>
            <w:hideMark/>
          </w:tcPr>
          <w:p w14:paraId="25FA70EF" w14:textId="77777777" w:rsidR="006A30ED" w:rsidRPr="006A30ED" w:rsidRDefault="006A30ED" w:rsidP="006A30ED">
            <w:pPr>
              <w:rPr>
                <w:rFonts w:cs="Arial"/>
                <w:b/>
                <w:color w:val="000000"/>
                <w:sz w:val="22"/>
              </w:rPr>
            </w:pPr>
            <w:r w:rsidRPr="006A30ED">
              <w:rPr>
                <w:rFonts w:cs="Arial"/>
                <w:b/>
                <w:color w:val="000000"/>
                <w:sz w:val="22"/>
              </w:rPr>
              <w:t>Total</w:t>
            </w:r>
          </w:p>
        </w:tc>
        <w:tc>
          <w:tcPr>
            <w:tcW w:w="0" w:type="auto"/>
            <w:shd w:val="clear" w:color="auto" w:fill="ACB9CA"/>
            <w:noWrap/>
            <w:vAlign w:val="center"/>
          </w:tcPr>
          <w:p w14:paraId="13CB513A" w14:textId="77777777" w:rsidR="006A30ED" w:rsidRPr="006A30ED" w:rsidRDefault="006A30ED" w:rsidP="006A30ED">
            <w:pPr>
              <w:jc w:val="right"/>
              <w:rPr>
                <w:rFonts w:cs="Arial"/>
                <w:b/>
                <w:color w:val="000000"/>
                <w:sz w:val="22"/>
              </w:rPr>
            </w:pPr>
            <w:r w:rsidRPr="006A30ED">
              <w:rPr>
                <w:rFonts w:cs="Arial"/>
                <w:b/>
                <w:color w:val="000000"/>
                <w:sz w:val="22"/>
              </w:rPr>
              <w:fldChar w:fldCharType="begin"/>
            </w:r>
            <w:r w:rsidRPr="006A30ED">
              <w:rPr>
                <w:rFonts w:cs="Arial"/>
                <w:b/>
                <w:color w:val="000000"/>
                <w:sz w:val="22"/>
              </w:rPr>
              <w:instrText xml:space="preserve"> =SUM(ABOVE) </w:instrText>
            </w:r>
            <w:r w:rsidRPr="006A30ED">
              <w:rPr>
                <w:rFonts w:cs="Arial"/>
                <w:b/>
                <w:color w:val="000000"/>
                <w:sz w:val="22"/>
              </w:rPr>
              <w:fldChar w:fldCharType="separate"/>
            </w:r>
            <w:r w:rsidRPr="006A30ED">
              <w:rPr>
                <w:rFonts w:cs="Arial"/>
                <w:b/>
                <w:noProof/>
                <w:color w:val="000000"/>
                <w:sz w:val="22"/>
              </w:rPr>
              <w:t>53.487</w:t>
            </w:r>
            <w:r w:rsidRPr="006A30ED">
              <w:rPr>
                <w:rFonts w:cs="Arial"/>
                <w:b/>
                <w:color w:val="000000"/>
                <w:sz w:val="22"/>
              </w:rPr>
              <w:fldChar w:fldCharType="end"/>
            </w:r>
          </w:p>
        </w:tc>
        <w:tc>
          <w:tcPr>
            <w:tcW w:w="0" w:type="auto"/>
            <w:shd w:val="clear" w:color="auto" w:fill="ACB9CA"/>
            <w:noWrap/>
            <w:vAlign w:val="center"/>
          </w:tcPr>
          <w:p w14:paraId="79F7CDB9" w14:textId="77777777" w:rsidR="006A30ED" w:rsidRPr="006A30ED" w:rsidRDefault="006A30ED" w:rsidP="006A30ED">
            <w:pPr>
              <w:jc w:val="right"/>
              <w:rPr>
                <w:rFonts w:cs="Arial"/>
                <w:b/>
                <w:color w:val="000000"/>
                <w:sz w:val="22"/>
              </w:rPr>
            </w:pPr>
            <w:r w:rsidRPr="006A30ED">
              <w:rPr>
                <w:rFonts w:cs="Arial"/>
                <w:b/>
                <w:color w:val="000000"/>
                <w:sz w:val="22"/>
              </w:rPr>
              <w:fldChar w:fldCharType="begin"/>
            </w:r>
            <w:r w:rsidRPr="006A30ED">
              <w:rPr>
                <w:rFonts w:cs="Arial"/>
                <w:b/>
                <w:color w:val="000000"/>
                <w:sz w:val="22"/>
              </w:rPr>
              <w:instrText xml:space="preserve"> =SUM(ABOVE) </w:instrText>
            </w:r>
            <w:r w:rsidRPr="006A30ED">
              <w:rPr>
                <w:rFonts w:cs="Arial"/>
                <w:b/>
                <w:color w:val="000000"/>
                <w:sz w:val="22"/>
              </w:rPr>
              <w:fldChar w:fldCharType="separate"/>
            </w:r>
            <w:r w:rsidRPr="006A30ED">
              <w:rPr>
                <w:rFonts w:cs="Arial"/>
                <w:b/>
                <w:noProof/>
                <w:color w:val="000000"/>
                <w:sz w:val="22"/>
              </w:rPr>
              <w:t>65.128</w:t>
            </w:r>
            <w:r w:rsidRPr="006A30ED">
              <w:rPr>
                <w:rFonts w:cs="Arial"/>
                <w:b/>
                <w:color w:val="000000"/>
                <w:sz w:val="22"/>
              </w:rPr>
              <w:fldChar w:fldCharType="end"/>
            </w:r>
          </w:p>
        </w:tc>
        <w:tc>
          <w:tcPr>
            <w:tcW w:w="0" w:type="auto"/>
            <w:shd w:val="clear" w:color="auto" w:fill="ACB9CA"/>
            <w:noWrap/>
            <w:vAlign w:val="center"/>
          </w:tcPr>
          <w:p w14:paraId="329C2021" w14:textId="77777777" w:rsidR="006A30ED" w:rsidRPr="006A30ED" w:rsidRDefault="006A30ED" w:rsidP="006A30ED">
            <w:pPr>
              <w:jc w:val="right"/>
              <w:rPr>
                <w:rFonts w:cs="Arial"/>
                <w:b/>
                <w:color w:val="000000"/>
                <w:sz w:val="22"/>
              </w:rPr>
            </w:pPr>
            <w:r w:rsidRPr="006A30ED">
              <w:rPr>
                <w:rFonts w:cs="Arial"/>
                <w:b/>
                <w:color w:val="000000"/>
                <w:sz w:val="22"/>
              </w:rPr>
              <w:fldChar w:fldCharType="begin"/>
            </w:r>
            <w:r w:rsidRPr="006A30ED">
              <w:rPr>
                <w:rFonts w:cs="Arial"/>
                <w:b/>
                <w:color w:val="000000"/>
                <w:sz w:val="22"/>
              </w:rPr>
              <w:instrText xml:space="preserve"> =SUM(ABOVE) </w:instrText>
            </w:r>
            <w:r w:rsidRPr="006A30ED">
              <w:rPr>
                <w:rFonts w:cs="Arial"/>
                <w:b/>
                <w:color w:val="000000"/>
                <w:sz w:val="22"/>
              </w:rPr>
              <w:fldChar w:fldCharType="separate"/>
            </w:r>
            <w:r w:rsidRPr="006A30ED">
              <w:rPr>
                <w:rFonts w:cs="Arial"/>
                <w:b/>
                <w:noProof/>
                <w:color w:val="000000"/>
                <w:sz w:val="22"/>
              </w:rPr>
              <w:t>73.275</w:t>
            </w:r>
            <w:r w:rsidRPr="006A30ED">
              <w:rPr>
                <w:rFonts w:cs="Arial"/>
                <w:b/>
                <w:color w:val="000000"/>
                <w:sz w:val="22"/>
              </w:rPr>
              <w:fldChar w:fldCharType="end"/>
            </w:r>
          </w:p>
        </w:tc>
        <w:tc>
          <w:tcPr>
            <w:tcW w:w="0" w:type="auto"/>
            <w:shd w:val="clear" w:color="auto" w:fill="ACB9CA"/>
            <w:vAlign w:val="center"/>
          </w:tcPr>
          <w:p w14:paraId="2A895773" w14:textId="77777777" w:rsidR="006A30ED" w:rsidRPr="006A30ED" w:rsidRDefault="006A30ED" w:rsidP="006A30ED">
            <w:pPr>
              <w:jc w:val="right"/>
              <w:rPr>
                <w:rFonts w:cs="Arial"/>
                <w:b/>
                <w:color w:val="000000"/>
                <w:sz w:val="22"/>
              </w:rPr>
            </w:pPr>
            <w:r w:rsidRPr="006A30ED">
              <w:rPr>
                <w:rFonts w:cs="Arial"/>
                <w:b/>
                <w:color w:val="000000"/>
                <w:sz w:val="22"/>
              </w:rPr>
              <w:fldChar w:fldCharType="begin"/>
            </w:r>
            <w:r w:rsidRPr="006A30ED">
              <w:rPr>
                <w:rFonts w:cs="Arial"/>
                <w:b/>
                <w:color w:val="000000"/>
                <w:sz w:val="22"/>
              </w:rPr>
              <w:instrText xml:space="preserve"> =SUM(ABOVE) </w:instrText>
            </w:r>
            <w:r w:rsidRPr="006A30ED">
              <w:rPr>
                <w:rFonts w:cs="Arial"/>
                <w:b/>
                <w:color w:val="000000"/>
                <w:sz w:val="22"/>
              </w:rPr>
              <w:fldChar w:fldCharType="separate"/>
            </w:r>
            <w:r w:rsidRPr="006A30ED">
              <w:rPr>
                <w:rFonts w:cs="Arial"/>
                <w:b/>
                <w:noProof/>
                <w:color w:val="000000"/>
                <w:sz w:val="22"/>
              </w:rPr>
              <w:t>65.578</w:t>
            </w:r>
            <w:r w:rsidRPr="006A30ED">
              <w:rPr>
                <w:rFonts w:cs="Arial"/>
                <w:b/>
                <w:color w:val="000000"/>
                <w:sz w:val="22"/>
              </w:rPr>
              <w:fldChar w:fldCharType="end"/>
            </w:r>
          </w:p>
        </w:tc>
        <w:tc>
          <w:tcPr>
            <w:tcW w:w="0" w:type="auto"/>
            <w:shd w:val="clear" w:color="auto" w:fill="ACB9CA"/>
            <w:noWrap/>
            <w:vAlign w:val="center"/>
          </w:tcPr>
          <w:p w14:paraId="71EC98DD" w14:textId="77777777" w:rsidR="006A30ED" w:rsidRPr="006A30ED" w:rsidRDefault="006A30ED" w:rsidP="006A30ED">
            <w:pPr>
              <w:jc w:val="right"/>
              <w:rPr>
                <w:rFonts w:cs="Arial"/>
                <w:b/>
                <w:i/>
                <w:color w:val="000000"/>
                <w:sz w:val="22"/>
              </w:rPr>
            </w:pPr>
            <w:r w:rsidRPr="006A30ED">
              <w:rPr>
                <w:rFonts w:cs="Arial"/>
                <w:b/>
                <w:i/>
                <w:color w:val="000000"/>
                <w:sz w:val="22"/>
              </w:rPr>
              <w:fldChar w:fldCharType="begin"/>
            </w:r>
            <w:r w:rsidRPr="006A30ED">
              <w:rPr>
                <w:rFonts w:cs="Arial"/>
                <w:b/>
                <w:i/>
                <w:color w:val="000000"/>
                <w:sz w:val="22"/>
              </w:rPr>
              <w:instrText xml:space="preserve"> =SUM(ABOVE) </w:instrText>
            </w:r>
            <w:r w:rsidRPr="006A30ED">
              <w:rPr>
                <w:rFonts w:cs="Arial"/>
                <w:b/>
                <w:i/>
                <w:color w:val="000000"/>
                <w:sz w:val="22"/>
              </w:rPr>
              <w:fldChar w:fldCharType="separate"/>
            </w:r>
            <w:r w:rsidRPr="006A30ED">
              <w:rPr>
                <w:rFonts w:cs="Arial"/>
                <w:b/>
                <w:i/>
                <w:noProof/>
                <w:color w:val="000000"/>
                <w:sz w:val="22"/>
              </w:rPr>
              <w:t>257.468</w:t>
            </w:r>
            <w:r w:rsidRPr="006A30ED">
              <w:rPr>
                <w:rFonts w:cs="Arial"/>
                <w:b/>
                <w:i/>
                <w:color w:val="000000"/>
                <w:sz w:val="22"/>
              </w:rPr>
              <w:fldChar w:fldCharType="end"/>
            </w:r>
          </w:p>
        </w:tc>
      </w:tr>
    </w:tbl>
    <w:p w14:paraId="65D4BE3D" w14:textId="77777777" w:rsidR="008C51BD" w:rsidRPr="008C51BD" w:rsidRDefault="008C51BD" w:rsidP="008C51BD">
      <w:pPr>
        <w:rPr>
          <w:sz w:val="22"/>
        </w:rPr>
      </w:pPr>
    </w:p>
    <w:p w14:paraId="2D931F93" w14:textId="77777777" w:rsidR="008C51BD" w:rsidRPr="008C51BD" w:rsidRDefault="008C51BD" w:rsidP="008C51BD">
      <w:pPr>
        <w:numPr>
          <w:ilvl w:val="1"/>
          <w:numId w:val="3"/>
        </w:numPr>
        <w:spacing w:after="120"/>
        <w:jc w:val="both"/>
        <w:rPr>
          <w:rFonts w:cs="Arial"/>
          <w:bCs/>
          <w:sz w:val="22"/>
        </w:rPr>
      </w:pPr>
      <w:r w:rsidRPr="008C51BD">
        <w:rPr>
          <w:rFonts w:cs="Arial"/>
          <w:bCs/>
          <w:sz w:val="22"/>
        </w:rPr>
        <w:t>The financing of the capital programme reflects the Commissioner's published Financial Strategy including the forecast use of contributions from the revenue budget. This source of funding is used for assets with a shorter life such as IT systems and equipment as it is considered a more prudent approach to use such funding in this way rather than unsupported borrowing. Borrowing will continue to be used for the financing of longer life assets such as property as this reflects an appropriate method of financing for such assets.</w:t>
      </w:r>
    </w:p>
    <w:p w14:paraId="002F1616" w14:textId="77777777" w:rsidR="008C51BD" w:rsidRPr="008C51BD" w:rsidRDefault="008C51BD" w:rsidP="008C51BD">
      <w:pPr>
        <w:numPr>
          <w:ilvl w:val="1"/>
          <w:numId w:val="3"/>
        </w:numPr>
        <w:spacing w:after="120"/>
        <w:jc w:val="both"/>
        <w:rPr>
          <w:rFonts w:cs="Arial"/>
          <w:bCs/>
          <w:sz w:val="22"/>
        </w:rPr>
      </w:pPr>
      <w:r w:rsidRPr="008C51BD">
        <w:rPr>
          <w:rFonts w:cs="Arial"/>
          <w:bCs/>
          <w:sz w:val="22"/>
        </w:rPr>
        <w:t xml:space="preserve">The cost of the borrowing included in the financing of the capital programme is reflected in the revenue budget requirement and MTFS. </w:t>
      </w:r>
    </w:p>
    <w:p w14:paraId="6A25EDE2" w14:textId="79E480D8" w:rsidR="004862DA" w:rsidRDefault="004862DA">
      <w:pPr>
        <w:rPr>
          <w:rFonts w:cs="Times New Roman"/>
          <w:sz w:val="22"/>
        </w:rPr>
      </w:pPr>
    </w:p>
    <w:p w14:paraId="4E2FD95A" w14:textId="77777777" w:rsidR="008C51BD" w:rsidRPr="008366B4" w:rsidRDefault="008C51BD">
      <w:pPr>
        <w:rPr>
          <w:rFonts w:cs="Times New Roman"/>
          <w:b/>
          <w:bCs/>
          <w:sz w:val="22"/>
        </w:rPr>
      </w:pPr>
    </w:p>
    <w:p w14:paraId="33C2B4EF" w14:textId="4C23EACA" w:rsidR="004862DA" w:rsidRPr="008366B4" w:rsidRDefault="004862DA" w:rsidP="00B03D05">
      <w:pPr>
        <w:pStyle w:val="ListParagraph"/>
        <w:numPr>
          <w:ilvl w:val="0"/>
          <w:numId w:val="3"/>
        </w:numPr>
        <w:spacing w:after="240"/>
        <w:ind w:left="357" w:hanging="357"/>
        <w:contextualSpacing w:val="0"/>
        <w:rPr>
          <w:b/>
          <w:bCs/>
        </w:rPr>
      </w:pPr>
      <w:r w:rsidRPr="008366B4">
        <w:rPr>
          <w:b/>
          <w:bCs/>
        </w:rPr>
        <w:lastRenderedPageBreak/>
        <w:t>Reserves</w:t>
      </w:r>
    </w:p>
    <w:p w14:paraId="5FDA27BC" w14:textId="5F9D3727" w:rsidR="00C53318" w:rsidRPr="00C9656B" w:rsidRDefault="00C53318" w:rsidP="00C53318">
      <w:pPr>
        <w:numPr>
          <w:ilvl w:val="1"/>
          <w:numId w:val="3"/>
        </w:numPr>
        <w:spacing w:after="120"/>
        <w:jc w:val="both"/>
        <w:rPr>
          <w:rFonts w:cs="Arial"/>
          <w:bCs/>
          <w:sz w:val="22"/>
        </w:rPr>
      </w:pPr>
      <w:r w:rsidRPr="00C9656B">
        <w:rPr>
          <w:rFonts w:cs="Arial"/>
          <w:bCs/>
          <w:sz w:val="22"/>
        </w:rPr>
        <w:t>The Commissioner sets out his</w:t>
      </w:r>
      <w:r w:rsidRPr="00C9656B">
        <w:rPr>
          <w:sz w:val="22"/>
        </w:rPr>
        <w:t xml:space="preserve"> </w:t>
      </w:r>
      <w:hyperlink r:id="rId16" w:history="1">
        <w:r w:rsidRPr="00C9656B">
          <w:rPr>
            <w:rStyle w:val="Hyperlink"/>
            <w:rFonts w:cs="Arial"/>
            <w:bCs/>
            <w:sz w:val="22"/>
          </w:rPr>
          <w:t>Reserves Strategy</w:t>
        </w:r>
      </w:hyperlink>
      <w:r w:rsidRPr="00C9656B">
        <w:rPr>
          <w:rFonts w:cs="Arial"/>
          <w:bCs/>
          <w:sz w:val="22"/>
        </w:rPr>
        <w:t xml:space="preserve">  each year that explains the reserves held and their planned use in conjunction with the Medium-Term Financial Strategy.</w:t>
      </w:r>
    </w:p>
    <w:p w14:paraId="1106305D" w14:textId="5488ACAA" w:rsidR="00D05E20" w:rsidRPr="00C9656B" w:rsidRDefault="00D05E20" w:rsidP="00A2143E">
      <w:pPr>
        <w:numPr>
          <w:ilvl w:val="1"/>
          <w:numId w:val="3"/>
        </w:numPr>
        <w:autoSpaceDE w:val="0"/>
        <w:autoSpaceDN w:val="0"/>
        <w:adjustRightInd w:val="0"/>
        <w:spacing w:after="120"/>
        <w:jc w:val="both"/>
        <w:rPr>
          <w:rFonts w:ascii="ArialMT" w:hAnsi="ArialMT" w:cs="ArialMT"/>
          <w:color w:val="000000"/>
          <w:sz w:val="22"/>
        </w:rPr>
      </w:pPr>
      <w:r w:rsidRPr="00C9656B">
        <w:rPr>
          <w:rFonts w:cs="Arial"/>
          <w:bCs/>
          <w:sz w:val="22"/>
        </w:rPr>
        <w:t xml:space="preserve">PCCs must consider the level of reserves needed to meet estimated future </w:t>
      </w:r>
      <w:r w:rsidRPr="00C9656B">
        <w:rPr>
          <w:rFonts w:ascii="ArialMT" w:hAnsi="ArialMT" w:cs="ArialMT"/>
          <w:color w:val="000000"/>
          <w:sz w:val="22"/>
        </w:rPr>
        <w:t>expenditure when calculating the budget requirement. The Chief Finance Officer is required, as part of the budget setting process each year, to provide a statement on the adequacy of reserves that is subject to an external audit review to assess value for money and a going concern opinion.</w:t>
      </w:r>
    </w:p>
    <w:p w14:paraId="3B1ECCDD" w14:textId="272FA694" w:rsidR="00D05E20" w:rsidRPr="00C9656B" w:rsidRDefault="00D05E20" w:rsidP="00A2143E">
      <w:pPr>
        <w:numPr>
          <w:ilvl w:val="1"/>
          <w:numId w:val="3"/>
        </w:numPr>
        <w:autoSpaceDE w:val="0"/>
        <w:autoSpaceDN w:val="0"/>
        <w:adjustRightInd w:val="0"/>
        <w:spacing w:after="120"/>
        <w:jc w:val="both"/>
        <w:rPr>
          <w:rFonts w:ascii="ArialMT" w:hAnsi="ArialMT" w:cs="ArialMT"/>
          <w:color w:val="000000"/>
          <w:sz w:val="22"/>
        </w:rPr>
      </w:pPr>
      <w:r w:rsidRPr="00C9656B">
        <w:rPr>
          <w:rFonts w:cs="Arial"/>
          <w:bCs/>
          <w:sz w:val="22"/>
        </w:rPr>
        <w:t xml:space="preserve">The PCC keeps a level of reserves to protect against the risk of any uncertainties or </w:t>
      </w:r>
      <w:r w:rsidRPr="00C9656B">
        <w:rPr>
          <w:rFonts w:ascii="ArialMT" w:hAnsi="ArialMT" w:cs="ArialMT"/>
          <w:color w:val="000000"/>
          <w:sz w:val="22"/>
        </w:rPr>
        <w:t xml:space="preserve">unforeseen expenditure. This is considered best practice and demonstrates sound financial planning. The use of financial reserves will not in itself resolve a budget </w:t>
      </w:r>
      <w:proofErr w:type="gramStart"/>
      <w:r w:rsidRPr="00C9656B">
        <w:rPr>
          <w:rFonts w:ascii="ArialMT" w:hAnsi="ArialMT" w:cs="ArialMT"/>
          <w:color w:val="000000"/>
          <w:sz w:val="22"/>
        </w:rPr>
        <w:t>problem</w:t>
      </w:r>
      <w:proofErr w:type="gramEnd"/>
      <w:r w:rsidRPr="00C9656B">
        <w:rPr>
          <w:rFonts w:ascii="ArialMT" w:hAnsi="ArialMT" w:cs="ArialMT"/>
          <w:color w:val="000000"/>
          <w:sz w:val="22"/>
        </w:rPr>
        <w:t xml:space="preserve"> but it can allow for smoothing of impacts or allow time to sort out issues. Therefore, reserves are mainly used to</w:t>
      </w:r>
      <w:r w:rsidR="00C52D72">
        <w:rPr>
          <w:rFonts w:ascii="ArialMT" w:hAnsi="ArialMT" w:cs="ArialMT"/>
          <w:color w:val="000000"/>
          <w:sz w:val="22"/>
        </w:rPr>
        <w:t>:</w:t>
      </w:r>
    </w:p>
    <w:p w14:paraId="27A60F41" w14:textId="3402D9D6" w:rsidR="00D05E20" w:rsidRPr="00D05E20" w:rsidRDefault="00D05E20" w:rsidP="00D05E20">
      <w:pPr>
        <w:numPr>
          <w:ilvl w:val="0"/>
          <w:numId w:val="6"/>
        </w:numPr>
        <w:ind w:left="1134"/>
        <w:rPr>
          <w:rFonts w:cs="Arial"/>
          <w:bCs/>
          <w:sz w:val="22"/>
        </w:rPr>
      </w:pPr>
      <w:r w:rsidRPr="00D05E20">
        <w:rPr>
          <w:rFonts w:cs="Arial"/>
          <w:bCs/>
          <w:sz w:val="22"/>
        </w:rPr>
        <w:t xml:space="preserve">Manage the impact of cuts over a longer </w:t>
      </w:r>
      <w:proofErr w:type="gramStart"/>
      <w:r w:rsidRPr="00D05E20">
        <w:rPr>
          <w:rFonts w:cs="Arial"/>
          <w:bCs/>
          <w:sz w:val="22"/>
        </w:rPr>
        <w:t>period of time</w:t>
      </w:r>
      <w:proofErr w:type="gramEnd"/>
    </w:p>
    <w:p w14:paraId="28A409B4" w14:textId="0CE050E9" w:rsidR="00D05E20" w:rsidRPr="00D05E20" w:rsidRDefault="00D05E20" w:rsidP="00D05E20">
      <w:pPr>
        <w:numPr>
          <w:ilvl w:val="0"/>
          <w:numId w:val="6"/>
        </w:numPr>
        <w:ind w:left="1134"/>
        <w:rPr>
          <w:rFonts w:cs="Arial"/>
          <w:bCs/>
          <w:sz w:val="22"/>
        </w:rPr>
      </w:pPr>
      <w:r w:rsidRPr="00D05E20">
        <w:rPr>
          <w:rFonts w:cs="Arial"/>
          <w:bCs/>
          <w:sz w:val="22"/>
        </w:rPr>
        <w:t xml:space="preserve">Invest in schemes that allow services to be delivered </w:t>
      </w:r>
      <w:r w:rsidR="00C52D72">
        <w:rPr>
          <w:rFonts w:cs="Arial"/>
          <w:bCs/>
          <w:sz w:val="22"/>
        </w:rPr>
        <w:t>more efficiently</w:t>
      </w:r>
    </w:p>
    <w:p w14:paraId="74AD19B5" w14:textId="68DC19AC" w:rsidR="00D05E20" w:rsidRPr="00D05E20" w:rsidRDefault="00D05E20" w:rsidP="00A2143E">
      <w:pPr>
        <w:numPr>
          <w:ilvl w:val="0"/>
          <w:numId w:val="6"/>
        </w:numPr>
        <w:ind w:left="1134"/>
        <w:rPr>
          <w:rFonts w:cs="Arial"/>
          <w:bCs/>
          <w:sz w:val="22"/>
        </w:rPr>
      </w:pPr>
      <w:r w:rsidRPr="00D05E20">
        <w:rPr>
          <w:rFonts w:cs="Arial"/>
          <w:bCs/>
          <w:sz w:val="22"/>
        </w:rPr>
        <w:t>Provide capacity to absorb any non-achievement of planned budget reductions in each year</w:t>
      </w:r>
    </w:p>
    <w:p w14:paraId="7BCACC07" w14:textId="0D4701A0" w:rsidR="00D05E20" w:rsidRPr="00D05E20" w:rsidRDefault="00D05E20" w:rsidP="00D05E20">
      <w:pPr>
        <w:numPr>
          <w:ilvl w:val="0"/>
          <w:numId w:val="6"/>
        </w:numPr>
        <w:ind w:left="1134"/>
        <w:rPr>
          <w:rFonts w:cs="Arial"/>
          <w:bCs/>
          <w:sz w:val="22"/>
        </w:rPr>
      </w:pPr>
      <w:r w:rsidRPr="00D05E20">
        <w:rPr>
          <w:rFonts w:cs="Arial"/>
          <w:bCs/>
          <w:sz w:val="22"/>
        </w:rPr>
        <w:t xml:space="preserve">To insure against major unexpected events (such as </w:t>
      </w:r>
      <w:r w:rsidR="00C52D72">
        <w:rPr>
          <w:rFonts w:cs="Arial"/>
          <w:bCs/>
          <w:sz w:val="22"/>
        </w:rPr>
        <w:t>pandemics</w:t>
      </w:r>
      <w:r w:rsidRPr="00D05E20">
        <w:rPr>
          <w:rFonts w:cs="Arial"/>
          <w:bCs/>
          <w:sz w:val="22"/>
        </w:rPr>
        <w:t>)</w:t>
      </w:r>
    </w:p>
    <w:p w14:paraId="2E0213B1" w14:textId="7EFA7252" w:rsidR="00D05E20" w:rsidRPr="00D05E20" w:rsidRDefault="00D05E20" w:rsidP="00D05E20">
      <w:pPr>
        <w:numPr>
          <w:ilvl w:val="0"/>
          <w:numId w:val="6"/>
        </w:numPr>
        <w:ind w:left="1134"/>
        <w:rPr>
          <w:rFonts w:cs="Arial"/>
          <w:bCs/>
          <w:sz w:val="22"/>
        </w:rPr>
      </w:pPr>
      <w:r w:rsidRPr="00D05E20">
        <w:rPr>
          <w:rFonts w:cs="Arial"/>
          <w:bCs/>
          <w:sz w:val="22"/>
        </w:rPr>
        <w:t>To guard against general risk (</w:t>
      </w:r>
      <w:r w:rsidR="00C52D72">
        <w:rPr>
          <w:rFonts w:cs="Arial"/>
          <w:bCs/>
          <w:sz w:val="22"/>
        </w:rPr>
        <w:t>manging</w:t>
      </w:r>
      <w:r w:rsidRPr="00D05E20">
        <w:rPr>
          <w:rFonts w:cs="Arial"/>
          <w:bCs/>
          <w:sz w:val="22"/>
        </w:rPr>
        <w:t xml:space="preserve"> unexpected events)</w:t>
      </w:r>
    </w:p>
    <w:p w14:paraId="45B75384" w14:textId="77777777" w:rsidR="006A30ED" w:rsidRDefault="006A30ED" w:rsidP="00D05E20">
      <w:pPr>
        <w:autoSpaceDE w:val="0"/>
        <w:autoSpaceDN w:val="0"/>
        <w:adjustRightInd w:val="0"/>
        <w:spacing w:before="120" w:after="120"/>
        <w:rPr>
          <w:rFonts w:ascii="Arial-BoldMT" w:hAnsi="Arial-BoldMT" w:cs="Arial-BoldMT"/>
          <w:b/>
          <w:bCs/>
          <w:sz w:val="22"/>
        </w:rPr>
      </w:pPr>
    </w:p>
    <w:p w14:paraId="2DE8A55A" w14:textId="108E7F53" w:rsidR="00D05E20" w:rsidRPr="008366B4" w:rsidRDefault="00D05E20" w:rsidP="00D05E20">
      <w:pPr>
        <w:autoSpaceDE w:val="0"/>
        <w:autoSpaceDN w:val="0"/>
        <w:adjustRightInd w:val="0"/>
        <w:spacing w:before="120" w:after="120"/>
        <w:rPr>
          <w:rFonts w:ascii="Arial-BoldMT" w:hAnsi="Arial-BoldMT" w:cs="Arial-BoldMT"/>
          <w:b/>
          <w:bCs/>
          <w:sz w:val="22"/>
        </w:rPr>
      </w:pPr>
      <w:r w:rsidRPr="008366B4">
        <w:rPr>
          <w:rFonts w:ascii="Arial-BoldMT" w:hAnsi="Arial-BoldMT" w:cs="Arial-BoldMT"/>
          <w:b/>
          <w:bCs/>
          <w:sz w:val="22"/>
        </w:rPr>
        <w:t>Reserves Policy</w:t>
      </w:r>
    </w:p>
    <w:p w14:paraId="511C2FDB" w14:textId="04CA40DA" w:rsidR="00D05E20" w:rsidRPr="00C9656B" w:rsidRDefault="00D05E20" w:rsidP="00D05E20">
      <w:pPr>
        <w:numPr>
          <w:ilvl w:val="1"/>
          <w:numId w:val="3"/>
        </w:numPr>
        <w:autoSpaceDE w:val="0"/>
        <w:autoSpaceDN w:val="0"/>
        <w:adjustRightInd w:val="0"/>
        <w:spacing w:after="120"/>
        <w:jc w:val="both"/>
        <w:rPr>
          <w:rFonts w:cs="Arial"/>
          <w:bCs/>
          <w:sz w:val="22"/>
        </w:rPr>
      </w:pPr>
      <w:r w:rsidRPr="00C9656B">
        <w:rPr>
          <w:rFonts w:cs="Arial"/>
          <w:bCs/>
          <w:sz w:val="22"/>
        </w:rPr>
        <w:t>The PCC’s policy on reserves is outlined within the MTFS principles as follows:</w:t>
      </w:r>
    </w:p>
    <w:p w14:paraId="1848FBF2" w14:textId="42AC71DA" w:rsidR="00D05E20" w:rsidRPr="00C9656B" w:rsidRDefault="00D05E20" w:rsidP="00E47576">
      <w:pPr>
        <w:numPr>
          <w:ilvl w:val="0"/>
          <w:numId w:val="6"/>
        </w:numPr>
        <w:ind w:left="1134"/>
        <w:rPr>
          <w:rFonts w:cs="Arial"/>
          <w:bCs/>
          <w:sz w:val="22"/>
        </w:rPr>
      </w:pPr>
      <w:r w:rsidRPr="00C9656B">
        <w:rPr>
          <w:rFonts w:cs="Arial"/>
          <w:bCs/>
          <w:sz w:val="22"/>
        </w:rPr>
        <w:t xml:space="preserve">The </w:t>
      </w:r>
      <w:r w:rsidR="00E47576" w:rsidRPr="00C9656B">
        <w:rPr>
          <w:rFonts w:cs="Arial"/>
          <w:bCs/>
          <w:sz w:val="22"/>
        </w:rPr>
        <w:t>PCC</w:t>
      </w:r>
      <w:r w:rsidRPr="00C9656B">
        <w:rPr>
          <w:rFonts w:cs="Arial"/>
          <w:bCs/>
          <w:sz w:val="22"/>
        </w:rPr>
        <w:t xml:space="preserve"> will maintain its general reserve at a </w:t>
      </w:r>
      <w:r w:rsidR="00C9656B" w:rsidRPr="00C9656B">
        <w:rPr>
          <w:rFonts w:cs="Arial"/>
          <w:bCs/>
          <w:sz w:val="22"/>
        </w:rPr>
        <w:t>level between</w:t>
      </w:r>
      <w:r w:rsidRPr="00C9656B">
        <w:rPr>
          <w:rFonts w:cs="Arial"/>
          <w:bCs/>
          <w:sz w:val="22"/>
        </w:rPr>
        <w:t xml:space="preserve"> 3% </w:t>
      </w:r>
      <w:r w:rsidR="00C9656B" w:rsidRPr="00C9656B">
        <w:rPr>
          <w:rFonts w:cs="Arial"/>
          <w:bCs/>
          <w:sz w:val="22"/>
        </w:rPr>
        <w:t xml:space="preserve">and 5% </w:t>
      </w:r>
      <w:r w:rsidRPr="00C9656B">
        <w:rPr>
          <w:rFonts w:cs="Arial"/>
          <w:bCs/>
          <w:sz w:val="22"/>
        </w:rPr>
        <w:t>of the net revenue</w:t>
      </w:r>
      <w:r w:rsidR="00E47576" w:rsidRPr="00C9656B">
        <w:rPr>
          <w:rFonts w:cs="Arial"/>
          <w:bCs/>
          <w:sz w:val="22"/>
        </w:rPr>
        <w:t xml:space="preserve"> </w:t>
      </w:r>
      <w:r w:rsidRPr="00C9656B">
        <w:rPr>
          <w:rFonts w:cs="Arial"/>
          <w:bCs/>
          <w:sz w:val="22"/>
        </w:rPr>
        <w:t xml:space="preserve">budget to cover any major unforeseen expenditure. The </w:t>
      </w:r>
      <w:r w:rsidR="00E47576" w:rsidRPr="00C9656B">
        <w:rPr>
          <w:rFonts w:cs="Arial"/>
          <w:bCs/>
          <w:sz w:val="22"/>
        </w:rPr>
        <w:t>PCC</w:t>
      </w:r>
      <w:r w:rsidRPr="00C9656B">
        <w:rPr>
          <w:rFonts w:cs="Arial"/>
          <w:bCs/>
          <w:sz w:val="22"/>
        </w:rPr>
        <w:t xml:space="preserve"> will aim to balance </w:t>
      </w:r>
      <w:r w:rsidR="00C9656B" w:rsidRPr="00C9656B">
        <w:rPr>
          <w:rFonts w:cs="Arial"/>
          <w:bCs/>
          <w:sz w:val="22"/>
        </w:rPr>
        <w:t>the</w:t>
      </w:r>
      <w:r w:rsidR="00E47576" w:rsidRPr="00C9656B">
        <w:rPr>
          <w:rFonts w:cs="Arial"/>
          <w:bCs/>
          <w:sz w:val="22"/>
        </w:rPr>
        <w:t xml:space="preserve"> </w:t>
      </w:r>
      <w:r w:rsidRPr="00C9656B">
        <w:rPr>
          <w:rFonts w:cs="Arial"/>
          <w:bCs/>
          <w:sz w:val="22"/>
        </w:rPr>
        <w:t>revenue budget over the period of the MTFS without reliance on the use of the general</w:t>
      </w:r>
      <w:r w:rsidR="00E47576" w:rsidRPr="00C9656B">
        <w:rPr>
          <w:rFonts w:cs="Arial"/>
          <w:bCs/>
          <w:sz w:val="22"/>
        </w:rPr>
        <w:t xml:space="preserve"> </w:t>
      </w:r>
      <w:r w:rsidRPr="00C9656B">
        <w:rPr>
          <w:rFonts w:cs="Arial"/>
          <w:bCs/>
          <w:sz w:val="22"/>
        </w:rPr>
        <w:t>reserve.</w:t>
      </w:r>
    </w:p>
    <w:p w14:paraId="497BDEF1" w14:textId="31B9A3C4" w:rsidR="00D05E20" w:rsidRPr="00C9656B" w:rsidRDefault="00D05E20" w:rsidP="00E47576">
      <w:pPr>
        <w:numPr>
          <w:ilvl w:val="0"/>
          <w:numId w:val="6"/>
        </w:numPr>
        <w:ind w:left="1134"/>
        <w:rPr>
          <w:rFonts w:cs="Arial"/>
          <w:bCs/>
          <w:sz w:val="22"/>
        </w:rPr>
      </w:pPr>
      <w:r w:rsidRPr="00C9656B">
        <w:rPr>
          <w:rFonts w:cs="Arial"/>
          <w:bCs/>
          <w:sz w:val="22"/>
        </w:rPr>
        <w:t xml:space="preserve">The </w:t>
      </w:r>
      <w:r w:rsidR="00E47576" w:rsidRPr="00C9656B">
        <w:rPr>
          <w:rFonts w:cs="Arial"/>
          <w:bCs/>
          <w:sz w:val="22"/>
        </w:rPr>
        <w:t>PCC</w:t>
      </w:r>
      <w:r w:rsidRPr="00C9656B">
        <w:rPr>
          <w:rFonts w:cs="Arial"/>
          <w:bCs/>
          <w:sz w:val="22"/>
        </w:rPr>
        <w:t xml:space="preserve"> will maintain earmarked reserves for specific purposes which are</w:t>
      </w:r>
      <w:r w:rsidR="00E47576" w:rsidRPr="00C9656B">
        <w:rPr>
          <w:rFonts w:cs="Arial"/>
          <w:bCs/>
          <w:sz w:val="22"/>
        </w:rPr>
        <w:t xml:space="preserve"> </w:t>
      </w:r>
      <w:r w:rsidRPr="00C9656B">
        <w:rPr>
          <w:rFonts w:cs="Arial"/>
          <w:bCs/>
          <w:sz w:val="22"/>
        </w:rPr>
        <w:t xml:space="preserve">consistent with achieving </w:t>
      </w:r>
      <w:r w:rsidR="00E47576" w:rsidRPr="00C9656B">
        <w:rPr>
          <w:rFonts w:cs="Arial"/>
          <w:bCs/>
          <w:sz w:val="22"/>
        </w:rPr>
        <w:t>the</w:t>
      </w:r>
      <w:r w:rsidRPr="00C9656B">
        <w:rPr>
          <w:rFonts w:cs="Arial"/>
          <w:bCs/>
          <w:sz w:val="22"/>
        </w:rPr>
        <w:t xml:space="preserve"> key priorities. The use and level of earmarked</w:t>
      </w:r>
      <w:r w:rsidR="00E47576" w:rsidRPr="00C9656B">
        <w:rPr>
          <w:rFonts w:cs="Arial"/>
          <w:bCs/>
          <w:sz w:val="22"/>
        </w:rPr>
        <w:t xml:space="preserve"> </w:t>
      </w:r>
      <w:r w:rsidRPr="00C9656B">
        <w:rPr>
          <w:rFonts w:cs="Arial"/>
          <w:bCs/>
          <w:sz w:val="22"/>
        </w:rPr>
        <w:t>reserves will be reviewed annually.</w:t>
      </w:r>
    </w:p>
    <w:p w14:paraId="7E19CF15" w14:textId="158EFCF0" w:rsidR="00D05E20" w:rsidRPr="00C9656B" w:rsidRDefault="00D05E20" w:rsidP="00A2143E">
      <w:pPr>
        <w:numPr>
          <w:ilvl w:val="0"/>
          <w:numId w:val="6"/>
        </w:numPr>
        <w:spacing w:after="120"/>
        <w:ind w:left="1134"/>
        <w:rPr>
          <w:rFonts w:cs="Arial"/>
          <w:bCs/>
          <w:sz w:val="22"/>
        </w:rPr>
      </w:pPr>
      <w:r w:rsidRPr="00C9656B">
        <w:rPr>
          <w:rFonts w:cs="Arial"/>
          <w:bCs/>
          <w:sz w:val="22"/>
        </w:rPr>
        <w:t xml:space="preserve">The </w:t>
      </w:r>
      <w:r w:rsidR="00E47576" w:rsidRPr="00C9656B">
        <w:rPr>
          <w:rFonts w:cs="Arial"/>
          <w:bCs/>
          <w:sz w:val="22"/>
        </w:rPr>
        <w:t>PCC</w:t>
      </w:r>
      <w:r w:rsidRPr="00C9656B">
        <w:rPr>
          <w:rFonts w:cs="Arial"/>
          <w:bCs/>
          <w:sz w:val="22"/>
        </w:rPr>
        <w:t>’s general reserve is available to support budget setting over the period of</w:t>
      </w:r>
      <w:r w:rsidR="00E47576" w:rsidRPr="00C9656B">
        <w:rPr>
          <w:rFonts w:cs="Arial"/>
          <w:bCs/>
          <w:sz w:val="22"/>
        </w:rPr>
        <w:t xml:space="preserve"> </w:t>
      </w:r>
      <w:r w:rsidRPr="00C9656B">
        <w:rPr>
          <w:rFonts w:cs="Arial"/>
          <w:bCs/>
          <w:sz w:val="22"/>
        </w:rPr>
        <w:t>the MTFS and usage should be linked to the achievement of financial</w:t>
      </w:r>
      <w:r w:rsidR="00E47576" w:rsidRPr="00C9656B">
        <w:rPr>
          <w:rFonts w:cs="Arial"/>
          <w:bCs/>
          <w:sz w:val="22"/>
        </w:rPr>
        <w:t xml:space="preserve"> </w:t>
      </w:r>
      <w:r w:rsidRPr="00C9656B">
        <w:rPr>
          <w:rFonts w:cs="Arial"/>
          <w:bCs/>
          <w:sz w:val="22"/>
        </w:rPr>
        <w:t>sustainability over the medium term.</w:t>
      </w:r>
    </w:p>
    <w:p w14:paraId="38AA4F0C" w14:textId="77777777" w:rsidR="00E47576" w:rsidRDefault="00E47576" w:rsidP="00D05E20">
      <w:pPr>
        <w:autoSpaceDE w:val="0"/>
        <w:autoSpaceDN w:val="0"/>
        <w:adjustRightInd w:val="0"/>
        <w:rPr>
          <w:rFonts w:ascii="ArialMT" w:hAnsi="ArialMT" w:cs="ArialMT"/>
          <w:color w:val="000000"/>
          <w:sz w:val="28"/>
          <w:szCs w:val="28"/>
        </w:rPr>
      </w:pPr>
    </w:p>
    <w:p w14:paraId="586D803A" w14:textId="298A45F3" w:rsidR="00D05E20" w:rsidRPr="006A30ED" w:rsidRDefault="00D05E20" w:rsidP="006E51AF">
      <w:pPr>
        <w:autoSpaceDE w:val="0"/>
        <w:autoSpaceDN w:val="0"/>
        <w:adjustRightInd w:val="0"/>
        <w:spacing w:before="120" w:after="120"/>
        <w:rPr>
          <w:rFonts w:ascii="Arial-BoldMT" w:hAnsi="Arial-BoldMT" w:cs="Arial-BoldMT"/>
          <w:b/>
          <w:bCs/>
          <w:sz w:val="22"/>
        </w:rPr>
      </w:pPr>
      <w:r w:rsidRPr="006A30ED">
        <w:rPr>
          <w:rFonts w:ascii="Arial-BoldMT" w:hAnsi="Arial-BoldMT" w:cs="Arial-BoldMT"/>
          <w:b/>
          <w:bCs/>
          <w:sz w:val="22"/>
        </w:rPr>
        <w:t>Review of Reserves</w:t>
      </w:r>
    </w:p>
    <w:p w14:paraId="7BDD2581" w14:textId="5CBECB25" w:rsidR="00D05E20" w:rsidRPr="00C9656B" w:rsidRDefault="00D05E20" w:rsidP="00E47576">
      <w:pPr>
        <w:numPr>
          <w:ilvl w:val="1"/>
          <w:numId w:val="3"/>
        </w:numPr>
        <w:autoSpaceDE w:val="0"/>
        <w:autoSpaceDN w:val="0"/>
        <w:adjustRightInd w:val="0"/>
        <w:spacing w:after="120"/>
        <w:jc w:val="both"/>
        <w:rPr>
          <w:rFonts w:cs="Arial"/>
          <w:bCs/>
          <w:sz w:val="22"/>
        </w:rPr>
      </w:pPr>
      <w:r w:rsidRPr="00C9656B">
        <w:rPr>
          <w:rFonts w:cs="Arial"/>
          <w:bCs/>
          <w:sz w:val="22"/>
        </w:rPr>
        <w:t xml:space="preserve">A review of reserves is undertaken </w:t>
      </w:r>
      <w:r w:rsidR="00E47576" w:rsidRPr="00C9656B">
        <w:rPr>
          <w:rFonts w:cs="Arial"/>
          <w:bCs/>
          <w:sz w:val="22"/>
        </w:rPr>
        <w:t>annually</w:t>
      </w:r>
      <w:r w:rsidRPr="00C9656B">
        <w:rPr>
          <w:rFonts w:cs="Arial"/>
          <w:bCs/>
          <w:sz w:val="22"/>
        </w:rPr>
        <w:t xml:space="preserve"> and covers:</w:t>
      </w:r>
    </w:p>
    <w:p w14:paraId="6DF4D067" w14:textId="2698502B" w:rsidR="00D05E20" w:rsidRPr="00C9656B" w:rsidRDefault="00D05E20" w:rsidP="00E47576">
      <w:pPr>
        <w:numPr>
          <w:ilvl w:val="0"/>
          <w:numId w:val="6"/>
        </w:numPr>
        <w:ind w:left="1134"/>
        <w:rPr>
          <w:rFonts w:cs="Arial"/>
          <w:bCs/>
          <w:sz w:val="22"/>
        </w:rPr>
      </w:pPr>
      <w:r w:rsidRPr="00C9656B">
        <w:rPr>
          <w:rFonts w:cs="Arial"/>
          <w:bCs/>
          <w:sz w:val="22"/>
        </w:rPr>
        <w:t>The purpose for which the reserve is held,</w:t>
      </w:r>
    </w:p>
    <w:p w14:paraId="7821E7AC" w14:textId="68CBABCF" w:rsidR="00D05E20" w:rsidRPr="00C9656B" w:rsidRDefault="00D05E20" w:rsidP="00A2143E">
      <w:pPr>
        <w:numPr>
          <w:ilvl w:val="0"/>
          <w:numId w:val="6"/>
        </w:numPr>
        <w:ind w:left="1134"/>
        <w:rPr>
          <w:rFonts w:cs="Arial"/>
          <w:bCs/>
          <w:sz w:val="22"/>
        </w:rPr>
      </w:pPr>
      <w:r w:rsidRPr="00C9656B">
        <w:rPr>
          <w:rFonts w:cs="Arial"/>
          <w:bCs/>
          <w:sz w:val="22"/>
        </w:rPr>
        <w:t>An assessment of the appropriate level of the reserve to meet potential future</w:t>
      </w:r>
      <w:r w:rsidR="00E47576" w:rsidRPr="00C9656B">
        <w:rPr>
          <w:rFonts w:cs="Arial"/>
          <w:bCs/>
          <w:sz w:val="22"/>
        </w:rPr>
        <w:t xml:space="preserve"> </w:t>
      </w:r>
      <w:r w:rsidRPr="00C9656B">
        <w:rPr>
          <w:rFonts w:cs="Arial"/>
          <w:bCs/>
          <w:sz w:val="22"/>
        </w:rPr>
        <w:t xml:space="preserve">liabilities, in line with the </w:t>
      </w:r>
      <w:r w:rsidR="00C9656B" w:rsidRPr="00C9656B">
        <w:rPr>
          <w:rFonts w:cs="Arial"/>
          <w:bCs/>
          <w:sz w:val="22"/>
        </w:rPr>
        <w:t>PCC</w:t>
      </w:r>
      <w:r w:rsidRPr="00C9656B">
        <w:rPr>
          <w:rFonts w:cs="Arial"/>
          <w:bCs/>
          <w:sz w:val="22"/>
        </w:rPr>
        <w:t>’s reserves policy and aligned to the risk management</w:t>
      </w:r>
      <w:r w:rsidR="00E47576" w:rsidRPr="00C9656B">
        <w:rPr>
          <w:rFonts w:cs="Arial"/>
          <w:bCs/>
          <w:sz w:val="22"/>
        </w:rPr>
        <w:t xml:space="preserve"> </w:t>
      </w:r>
      <w:r w:rsidRPr="00C9656B">
        <w:rPr>
          <w:rFonts w:cs="Arial"/>
          <w:bCs/>
          <w:sz w:val="22"/>
        </w:rPr>
        <w:t>framework,</w:t>
      </w:r>
    </w:p>
    <w:p w14:paraId="363A848B" w14:textId="77777777" w:rsidR="00E47576" w:rsidRPr="00C9656B" w:rsidRDefault="00D05E20" w:rsidP="00E47576">
      <w:pPr>
        <w:numPr>
          <w:ilvl w:val="0"/>
          <w:numId w:val="6"/>
        </w:numPr>
        <w:ind w:left="1134"/>
        <w:rPr>
          <w:rFonts w:cs="Arial"/>
          <w:bCs/>
          <w:sz w:val="22"/>
        </w:rPr>
      </w:pPr>
      <w:r w:rsidRPr="00C9656B">
        <w:rPr>
          <w:rFonts w:cs="Arial"/>
          <w:bCs/>
          <w:sz w:val="22"/>
        </w:rPr>
        <w:t>Procedures for the reserve’s management and control</w:t>
      </w:r>
    </w:p>
    <w:p w14:paraId="2D59C210" w14:textId="4EEEB249" w:rsidR="00D05E20" w:rsidRPr="00C9656B" w:rsidRDefault="00D05E20" w:rsidP="00E47576">
      <w:pPr>
        <w:numPr>
          <w:ilvl w:val="0"/>
          <w:numId w:val="6"/>
        </w:numPr>
        <w:spacing w:after="120"/>
        <w:ind w:left="1134"/>
        <w:rPr>
          <w:rFonts w:cs="Arial"/>
          <w:bCs/>
          <w:sz w:val="22"/>
        </w:rPr>
      </w:pPr>
      <w:r w:rsidRPr="00C9656B">
        <w:rPr>
          <w:rFonts w:cs="Arial"/>
          <w:bCs/>
          <w:sz w:val="22"/>
        </w:rPr>
        <w:t>A process and timescale for future reviews to ensure continuing relevance and</w:t>
      </w:r>
      <w:r w:rsidR="00E47576" w:rsidRPr="00C9656B">
        <w:rPr>
          <w:rFonts w:cs="Arial"/>
          <w:bCs/>
          <w:sz w:val="22"/>
        </w:rPr>
        <w:t xml:space="preserve"> </w:t>
      </w:r>
      <w:r w:rsidRPr="00C9656B">
        <w:rPr>
          <w:rFonts w:cs="Arial"/>
          <w:bCs/>
          <w:sz w:val="22"/>
        </w:rPr>
        <w:t>adequacy.</w:t>
      </w:r>
    </w:p>
    <w:p w14:paraId="4F3342BE" w14:textId="4FFD6F2B" w:rsidR="00C53318" w:rsidRPr="00C9656B" w:rsidRDefault="00C53318" w:rsidP="00E47576">
      <w:pPr>
        <w:numPr>
          <w:ilvl w:val="1"/>
          <w:numId w:val="3"/>
        </w:numPr>
        <w:spacing w:after="120"/>
        <w:jc w:val="both"/>
        <w:rPr>
          <w:rFonts w:cs="Arial"/>
          <w:bCs/>
          <w:sz w:val="22"/>
        </w:rPr>
      </w:pPr>
      <w:r w:rsidRPr="00C9656B">
        <w:rPr>
          <w:rFonts w:cs="Arial"/>
          <w:bCs/>
          <w:sz w:val="22"/>
        </w:rPr>
        <w:t xml:space="preserve">The </w:t>
      </w:r>
      <w:r w:rsidR="00C9656B" w:rsidRPr="00C9656B">
        <w:rPr>
          <w:rFonts w:cs="Arial"/>
          <w:bCs/>
          <w:sz w:val="22"/>
        </w:rPr>
        <w:t>PC</w:t>
      </w:r>
      <w:r w:rsidRPr="00C9656B">
        <w:rPr>
          <w:rFonts w:cs="Arial"/>
          <w:bCs/>
          <w:sz w:val="22"/>
        </w:rPr>
        <w:t>C holds two types of reserve, General reserves that are available to support the revenue budget and provide security should the organisation face an unexpected issue that realises a call on its resources. The forecast level of these general reserves for 1 April 202</w:t>
      </w:r>
      <w:r w:rsidR="006A30ED">
        <w:rPr>
          <w:rFonts w:cs="Arial"/>
          <w:bCs/>
          <w:sz w:val="22"/>
        </w:rPr>
        <w:t>6</w:t>
      </w:r>
      <w:r w:rsidRPr="00C9656B">
        <w:rPr>
          <w:rFonts w:cs="Arial"/>
          <w:bCs/>
          <w:sz w:val="22"/>
        </w:rPr>
        <w:t xml:space="preserve"> is £1</w:t>
      </w:r>
      <w:r w:rsidR="006A30ED">
        <w:rPr>
          <w:rFonts w:cs="Arial"/>
          <w:bCs/>
          <w:sz w:val="22"/>
        </w:rPr>
        <w:t>3.796</w:t>
      </w:r>
      <w:r w:rsidRPr="00C9656B">
        <w:rPr>
          <w:rFonts w:cs="Arial"/>
          <w:bCs/>
          <w:sz w:val="22"/>
        </w:rPr>
        <w:t xml:space="preserve">m or </w:t>
      </w:r>
      <w:r w:rsidR="00A4444A">
        <w:rPr>
          <w:rFonts w:cs="Arial"/>
          <w:bCs/>
          <w:sz w:val="22"/>
        </w:rPr>
        <w:t>3.</w:t>
      </w:r>
      <w:r w:rsidR="006A30ED">
        <w:rPr>
          <w:rFonts w:cs="Arial"/>
          <w:bCs/>
          <w:sz w:val="22"/>
        </w:rPr>
        <w:t>1</w:t>
      </w:r>
      <w:r w:rsidRPr="00C9656B">
        <w:rPr>
          <w:rFonts w:cs="Arial"/>
          <w:bCs/>
          <w:sz w:val="22"/>
        </w:rPr>
        <w:t>% of the 202</w:t>
      </w:r>
      <w:r w:rsidR="00783E3D">
        <w:rPr>
          <w:rFonts w:cs="Arial"/>
          <w:bCs/>
          <w:sz w:val="22"/>
        </w:rPr>
        <w:t>6</w:t>
      </w:r>
      <w:r w:rsidR="006A30ED">
        <w:rPr>
          <w:rFonts w:cs="Arial"/>
          <w:bCs/>
          <w:sz w:val="22"/>
        </w:rPr>
        <w:t>/27</w:t>
      </w:r>
      <w:r w:rsidRPr="00C9656B">
        <w:rPr>
          <w:rFonts w:cs="Arial"/>
          <w:bCs/>
          <w:sz w:val="22"/>
        </w:rPr>
        <w:t xml:space="preserve"> revenue budget. The Chief Finance Officer considers general reserves at this level to be appropriate and in line with the Commissioner's Reserves Strategy.</w:t>
      </w:r>
    </w:p>
    <w:p w14:paraId="2CC395D8" w14:textId="6A9C553E" w:rsidR="00C53318" w:rsidRDefault="00C53318" w:rsidP="00E47576">
      <w:pPr>
        <w:numPr>
          <w:ilvl w:val="1"/>
          <w:numId w:val="3"/>
        </w:numPr>
        <w:spacing w:after="120"/>
        <w:jc w:val="both"/>
        <w:rPr>
          <w:rFonts w:cs="Arial"/>
          <w:bCs/>
          <w:sz w:val="22"/>
        </w:rPr>
      </w:pPr>
      <w:r w:rsidRPr="00C9656B">
        <w:rPr>
          <w:rFonts w:cs="Arial"/>
          <w:bCs/>
          <w:sz w:val="22"/>
        </w:rPr>
        <w:t>The reserves available in 202</w:t>
      </w:r>
      <w:r w:rsidR="00783E3D">
        <w:rPr>
          <w:rFonts w:cs="Arial"/>
          <w:bCs/>
          <w:sz w:val="22"/>
        </w:rPr>
        <w:t>6</w:t>
      </w:r>
      <w:r w:rsidR="006A30ED">
        <w:rPr>
          <w:rFonts w:cs="Arial"/>
          <w:bCs/>
          <w:sz w:val="22"/>
        </w:rPr>
        <w:t>/27</w:t>
      </w:r>
      <w:r w:rsidRPr="00C9656B">
        <w:rPr>
          <w:rFonts w:cs="Arial"/>
          <w:bCs/>
          <w:sz w:val="22"/>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4616"/>
        <w:gridCol w:w="861"/>
      </w:tblGrid>
      <w:tr w:rsidR="006A30ED" w:rsidRPr="00220833" w14:paraId="52A73E12" w14:textId="77777777" w:rsidTr="00F444FB">
        <w:trPr>
          <w:trHeight w:val="315"/>
          <w:jc w:val="center"/>
        </w:trPr>
        <w:tc>
          <w:tcPr>
            <w:tcW w:w="4616" w:type="dxa"/>
            <w:noWrap/>
            <w:vAlign w:val="center"/>
            <w:hideMark/>
          </w:tcPr>
          <w:p w14:paraId="4AD3E2BC" w14:textId="5AD6FBE7" w:rsidR="006A30ED" w:rsidRPr="007D72B6" w:rsidRDefault="006A30ED" w:rsidP="00F444FB">
            <w:pPr>
              <w:rPr>
                <w:rFonts w:ascii="Calibri Light" w:hAnsi="Calibri Light" w:cs="Times New Roman"/>
                <w:b/>
                <w:color w:val="000000"/>
                <w:szCs w:val="24"/>
              </w:rPr>
            </w:pPr>
            <w:r>
              <w:rPr>
                <w:rFonts w:ascii="Calibri Light" w:hAnsi="Calibri Light" w:cs="Times New Roman"/>
                <w:b/>
                <w:color w:val="000000"/>
                <w:szCs w:val="24"/>
              </w:rPr>
              <w:lastRenderedPageBreak/>
              <w:t>Earmarked reserves</w:t>
            </w:r>
          </w:p>
        </w:tc>
        <w:tc>
          <w:tcPr>
            <w:tcW w:w="0" w:type="auto"/>
            <w:vAlign w:val="center"/>
          </w:tcPr>
          <w:p w14:paraId="5B367159" w14:textId="77777777" w:rsidR="006A30ED" w:rsidRPr="007D72B6" w:rsidRDefault="006A30ED" w:rsidP="00F444FB">
            <w:pPr>
              <w:spacing w:line="259" w:lineRule="auto"/>
              <w:jc w:val="center"/>
              <w:rPr>
                <w:rFonts w:ascii="Calibri Light" w:hAnsi="Calibri Light" w:cs="Times New Roman"/>
                <w:b/>
                <w:color w:val="000000"/>
                <w:szCs w:val="24"/>
              </w:rPr>
            </w:pPr>
            <w:r w:rsidRPr="007D72B6">
              <w:rPr>
                <w:rFonts w:ascii="Calibri Light" w:hAnsi="Calibri Light" w:cs="Times New Roman"/>
                <w:b/>
                <w:color w:val="000000"/>
                <w:szCs w:val="24"/>
              </w:rPr>
              <w:t>£m</w:t>
            </w:r>
          </w:p>
        </w:tc>
      </w:tr>
      <w:tr w:rsidR="006A30ED" w:rsidRPr="00220833" w14:paraId="773A57C3" w14:textId="77777777" w:rsidTr="00F444FB">
        <w:trPr>
          <w:trHeight w:val="315"/>
          <w:jc w:val="center"/>
        </w:trPr>
        <w:tc>
          <w:tcPr>
            <w:tcW w:w="4616" w:type="dxa"/>
            <w:noWrap/>
            <w:vAlign w:val="center"/>
          </w:tcPr>
          <w:p w14:paraId="0268EFF6" w14:textId="77777777" w:rsidR="006A30ED" w:rsidRPr="007D72B6" w:rsidRDefault="006A30ED" w:rsidP="00F444FB">
            <w:pPr>
              <w:rPr>
                <w:rFonts w:ascii="Calibri Light" w:hAnsi="Calibri Light" w:cs="Times New Roman"/>
                <w:color w:val="000000"/>
                <w:szCs w:val="24"/>
              </w:rPr>
            </w:pPr>
            <w:r w:rsidRPr="007D72B6">
              <w:rPr>
                <w:rFonts w:ascii="Calibri Light" w:hAnsi="Calibri Light" w:cs="Times New Roman"/>
                <w:color w:val="000000"/>
                <w:szCs w:val="24"/>
              </w:rPr>
              <w:t>Capital financing reserve</w:t>
            </w:r>
          </w:p>
        </w:tc>
        <w:tc>
          <w:tcPr>
            <w:tcW w:w="0" w:type="auto"/>
            <w:vAlign w:val="center"/>
          </w:tcPr>
          <w:p w14:paraId="0470D224" w14:textId="77777777" w:rsidR="006A30ED" w:rsidRPr="007D72B6" w:rsidRDefault="006A30ED" w:rsidP="00F444FB">
            <w:pPr>
              <w:ind w:right="57"/>
              <w:jc w:val="right"/>
              <w:rPr>
                <w:rFonts w:ascii="Calibri Light" w:hAnsi="Calibri Light" w:cs="Times New Roman"/>
                <w:color w:val="000000"/>
                <w:szCs w:val="24"/>
              </w:rPr>
            </w:pPr>
            <w:r>
              <w:rPr>
                <w:rFonts w:ascii="Calibri Light" w:hAnsi="Calibri Light" w:cs="Times New Roman"/>
                <w:color w:val="000000"/>
                <w:szCs w:val="24"/>
              </w:rPr>
              <w:t>0.406</w:t>
            </w:r>
          </w:p>
        </w:tc>
      </w:tr>
      <w:tr w:rsidR="006A30ED" w:rsidRPr="00220833" w14:paraId="7F799545" w14:textId="77777777" w:rsidTr="00F444FB">
        <w:trPr>
          <w:trHeight w:val="315"/>
          <w:jc w:val="center"/>
        </w:trPr>
        <w:tc>
          <w:tcPr>
            <w:tcW w:w="4616" w:type="dxa"/>
            <w:noWrap/>
            <w:vAlign w:val="center"/>
            <w:hideMark/>
          </w:tcPr>
          <w:p w14:paraId="1445C5E2" w14:textId="77777777" w:rsidR="006A30ED" w:rsidRPr="007D72B6" w:rsidRDefault="006A30ED" w:rsidP="00F444FB">
            <w:pPr>
              <w:rPr>
                <w:rFonts w:ascii="Calibri Light" w:hAnsi="Calibri Light" w:cs="Times New Roman"/>
                <w:color w:val="000000"/>
                <w:szCs w:val="24"/>
              </w:rPr>
            </w:pPr>
            <w:r w:rsidRPr="007D72B6">
              <w:rPr>
                <w:rFonts w:ascii="Calibri Light" w:hAnsi="Calibri Light" w:cs="Times New Roman"/>
                <w:color w:val="000000"/>
                <w:szCs w:val="24"/>
              </w:rPr>
              <w:t>Protective Clothing Reserve</w:t>
            </w:r>
          </w:p>
        </w:tc>
        <w:tc>
          <w:tcPr>
            <w:tcW w:w="0" w:type="auto"/>
            <w:vAlign w:val="center"/>
          </w:tcPr>
          <w:p w14:paraId="4F72BAEA" w14:textId="77777777" w:rsidR="006A30ED" w:rsidRPr="007D72B6" w:rsidRDefault="006A30ED" w:rsidP="00F444FB">
            <w:pPr>
              <w:ind w:right="57"/>
              <w:jc w:val="right"/>
              <w:rPr>
                <w:rFonts w:ascii="Calibri Light" w:hAnsi="Calibri Light" w:cs="Times New Roman"/>
                <w:color w:val="000000"/>
                <w:szCs w:val="24"/>
              </w:rPr>
            </w:pPr>
            <w:r>
              <w:rPr>
                <w:rFonts w:ascii="Calibri Light" w:hAnsi="Calibri Light" w:cs="Times New Roman"/>
                <w:color w:val="000000"/>
                <w:szCs w:val="24"/>
              </w:rPr>
              <w:t>0.472</w:t>
            </w:r>
          </w:p>
        </w:tc>
      </w:tr>
      <w:tr w:rsidR="006A30ED" w:rsidRPr="00220833" w14:paraId="5CFF19B2" w14:textId="77777777" w:rsidTr="00F444FB">
        <w:trPr>
          <w:trHeight w:val="315"/>
          <w:jc w:val="center"/>
        </w:trPr>
        <w:tc>
          <w:tcPr>
            <w:tcW w:w="4616" w:type="dxa"/>
            <w:noWrap/>
            <w:vAlign w:val="center"/>
          </w:tcPr>
          <w:p w14:paraId="2D84632A" w14:textId="77777777" w:rsidR="006A30ED" w:rsidRPr="007D72B6" w:rsidRDefault="006A30ED" w:rsidP="00F444FB">
            <w:pPr>
              <w:rPr>
                <w:rFonts w:ascii="Calibri Light" w:hAnsi="Calibri Light" w:cs="Times New Roman"/>
                <w:color w:val="000000"/>
                <w:szCs w:val="24"/>
              </w:rPr>
            </w:pPr>
            <w:r w:rsidRPr="007D72B6">
              <w:rPr>
                <w:rFonts w:ascii="Calibri Light" w:hAnsi="Calibri Light" w:cs="Times New Roman"/>
                <w:color w:val="000000"/>
                <w:szCs w:val="24"/>
              </w:rPr>
              <w:t>Operational Policing Reserve</w:t>
            </w:r>
          </w:p>
        </w:tc>
        <w:tc>
          <w:tcPr>
            <w:tcW w:w="0" w:type="auto"/>
            <w:vAlign w:val="center"/>
          </w:tcPr>
          <w:p w14:paraId="1D443702" w14:textId="77777777" w:rsidR="006A30ED" w:rsidRPr="007D72B6" w:rsidRDefault="006A30ED" w:rsidP="00F444FB">
            <w:pPr>
              <w:ind w:right="57"/>
              <w:jc w:val="right"/>
              <w:rPr>
                <w:rFonts w:ascii="Calibri Light" w:hAnsi="Calibri Light" w:cs="Times New Roman"/>
                <w:color w:val="000000"/>
                <w:szCs w:val="24"/>
              </w:rPr>
            </w:pPr>
            <w:r w:rsidRPr="007D72B6">
              <w:rPr>
                <w:rFonts w:ascii="Calibri Light" w:hAnsi="Calibri Light" w:cs="Times New Roman"/>
                <w:color w:val="000000"/>
                <w:szCs w:val="24"/>
              </w:rPr>
              <w:t>1.691</w:t>
            </w:r>
          </w:p>
        </w:tc>
      </w:tr>
      <w:tr w:rsidR="006A30ED" w:rsidRPr="00220833" w14:paraId="0DC7B756" w14:textId="77777777" w:rsidTr="00F444FB">
        <w:trPr>
          <w:trHeight w:val="315"/>
          <w:jc w:val="center"/>
        </w:trPr>
        <w:tc>
          <w:tcPr>
            <w:tcW w:w="4616" w:type="dxa"/>
            <w:noWrap/>
            <w:vAlign w:val="center"/>
          </w:tcPr>
          <w:p w14:paraId="4189B6ED" w14:textId="77777777" w:rsidR="006A30ED" w:rsidRPr="007D72B6" w:rsidRDefault="006A30ED" w:rsidP="00F444FB">
            <w:pPr>
              <w:rPr>
                <w:rFonts w:ascii="Calibri Light" w:hAnsi="Calibri Light" w:cs="Times New Roman"/>
                <w:color w:val="000000"/>
                <w:szCs w:val="24"/>
              </w:rPr>
            </w:pPr>
            <w:r w:rsidRPr="007D72B6">
              <w:rPr>
                <w:rFonts w:ascii="Calibri Light" w:hAnsi="Calibri Light" w:cs="Times New Roman"/>
                <w:color w:val="000000"/>
                <w:szCs w:val="24"/>
              </w:rPr>
              <w:t>National Driver Offender Retraining scheme</w:t>
            </w:r>
          </w:p>
        </w:tc>
        <w:tc>
          <w:tcPr>
            <w:tcW w:w="0" w:type="auto"/>
            <w:vAlign w:val="center"/>
          </w:tcPr>
          <w:p w14:paraId="15984625" w14:textId="77777777" w:rsidR="006A30ED" w:rsidRPr="007D72B6" w:rsidRDefault="006A30ED" w:rsidP="00F444FB">
            <w:pPr>
              <w:ind w:right="57"/>
              <w:jc w:val="right"/>
              <w:rPr>
                <w:rFonts w:ascii="Calibri Light" w:hAnsi="Calibri Light" w:cs="Times New Roman"/>
                <w:color w:val="000000"/>
                <w:szCs w:val="24"/>
              </w:rPr>
            </w:pPr>
            <w:r>
              <w:rPr>
                <w:rFonts w:ascii="Calibri Light" w:hAnsi="Calibri Light" w:cs="Times New Roman"/>
                <w:color w:val="000000"/>
                <w:szCs w:val="24"/>
              </w:rPr>
              <w:t>0.275</w:t>
            </w:r>
          </w:p>
        </w:tc>
      </w:tr>
      <w:tr w:rsidR="006A30ED" w:rsidRPr="00220833" w14:paraId="6B1FF7D7" w14:textId="77777777" w:rsidTr="00F444FB">
        <w:trPr>
          <w:trHeight w:val="315"/>
          <w:jc w:val="center"/>
        </w:trPr>
        <w:tc>
          <w:tcPr>
            <w:tcW w:w="4616" w:type="dxa"/>
            <w:noWrap/>
            <w:vAlign w:val="center"/>
          </w:tcPr>
          <w:p w14:paraId="41D11311" w14:textId="77777777" w:rsidR="006A30ED" w:rsidRPr="007D72B6" w:rsidRDefault="006A30ED" w:rsidP="00F444FB">
            <w:pPr>
              <w:rPr>
                <w:rFonts w:ascii="Calibri Light" w:hAnsi="Calibri Light" w:cs="Times New Roman"/>
                <w:color w:val="000000"/>
                <w:szCs w:val="24"/>
              </w:rPr>
            </w:pPr>
            <w:r>
              <w:rPr>
                <w:rFonts w:ascii="Calibri Light" w:hAnsi="Calibri Light" w:cs="Times New Roman"/>
                <w:color w:val="000000"/>
                <w:szCs w:val="24"/>
              </w:rPr>
              <w:t>Road Safety Investment reserve</w:t>
            </w:r>
          </w:p>
        </w:tc>
        <w:tc>
          <w:tcPr>
            <w:tcW w:w="0" w:type="auto"/>
            <w:vAlign w:val="center"/>
          </w:tcPr>
          <w:p w14:paraId="6E4BC05F" w14:textId="77777777" w:rsidR="006A30ED" w:rsidRPr="007D72B6" w:rsidRDefault="006A30ED" w:rsidP="00F444FB">
            <w:pPr>
              <w:ind w:right="57"/>
              <w:jc w:val="right"/>
              <w:rPr>
                <w:rFonts w:ascii="Calibri Light" w:hAnsi="Calibri Light" w:cs="Times New Roman"/>
                <w:color w:val="000000"/>
                <w:szCs w:val="24"/>
              </w:rPr>
            </w:pPr>
            <w:r>
              <w:rPr>
                <w:rFonts w:ascii="Calibri Light" w:hAnsi="Calibri Light" w:cs="Times New Roman"/>
                <w:color w:val="000000"/>
                <w:szCs w:val="24"/>
              </w:rPr>
              <w:t>0.986</w:t>
            </w:r>
          </w:p>
        </w:tc>
      </w:tr>
      <w:tr w:rsidR="006A30ED" w:rsidRPr="00220833" w14:paraId="475944FF" w14:textId="77777777" w:rsidTr="00F444FB">
        <w:trPr>
          <w:trHeight w:val="315"/>
          <w:jc w:val="center"/>
        </w:trPr>
        <w:tc>
          <w:tcPr>
            <w:tcW w:w="4616" w:type="dxa"/>
            <w:noWrap/>
            <w:vAlign w:val="center"/>
          </w:tcPr>
          <w:p w14:paraId="199C88ED" w14:textId="330A97F6" w:rsidR="006A30ED" w:rsidRDefault="006A30ED" w:rsidP="006A30ED">
            <w:pPr>
              <w:rPr>
                <w:rFonts w:ascii="Calibri Light" w:hAnsi="Calibri Light" w:cs="Times New Roman"/>
                <w:color w:val="000000"/>
                <w:szCs w:val="24"/>
              </w:rPr>
            </w:pPr>
            <w:r w:rsidRPr="007D72B6">
              <w:rPr>
                <w:rFonts w:ascii="Calibri Light" w:hAnsi="Calibri Light" w:cs="Times New Roman"/>
                <w:color w:val="000000"/>
                <w:szCs w:val="24"/>
              </w:rPr>
              <w:t>Forensic Partnership reserve</w:t>
            </w:r>
          </w:p>
        </w:tc>
        <w:tc>
          <w:tcPr>
            <w:tcW w:w="0" w:type="auto"/>
            <w:vAlign w:val="center"/>
          </w:tcPr>
          <w:p w14:paraId="253D9A68" w14:textId="3874773C" w:rsidR="006A30ED" w:rsidRDefault="006A30ED" w:rsidP="006A30ED">
            <w:pPr>
              <w:ind w:right="57"/>
              <w:jc w:val="right"/>
              <w:rPr>
                <w:rFonts w:ascii="Calibri Light" w:hAnsi="Calibri Light" w:cs="Times New Roman"/>
                <w:color w:val="000000"/>
                <w:szCs w:val="24"/>
              </w:rPr>
            </w:pPr>
            <w:r>
              <w:rPr>
                <w:rFonts w:ascii="Calibri Light" w:hAnsi="Calibri Light" w:cs="Times New Roman"/>
                <w:color w:val="000000"/>
                <w:szCs w:val="24"/>
              </w:rPr>
              <w:t>0.180</w:t>
            </w:r>
          </w:p>
        </w:tc>
      </w:tr>
      <w:tr w:rsidR="006A30ED" w:rsidRPr="00220833" w14:paraId="54879C69" w14:textId="77777777" w:rsidTr="00F444FB">
        <w:trPr>
          <w:trHeight w:val="315"/>
          <w:jc w:val="center"/>
        </w:trPr>
        <w:tc>
          <w:tcPr>
            <w:tcW w:w="4616" w:type="dxa"/>
            <w:noWrap/>
            <w:vAlign w:val="center"/>
          </w:tcPr>
          <w:p w14:paraId="4473F2B5" w14:textId="77777777" w:rsidR="006A30ED" w:rsidRPr="007D72B6" w:rsidRDefault="006A30ED" w:rsidP="006A30ED">
            <w:pPr>
              <w:rPr>
                <w:rFonts w:ascii="Calibri Light" w:hAnsi="Calibri Light" w:cs="Times New Roman"/>
                <w:color w:val="000000"/>
                <w:szCs w:val="24"/>
              </w:rPr>
            </w:pPr>
            <w:r>
              <w:rPr>
                <w:rFonts w:ascii="Calibri Light" w:hAnsi="Calibri Light" w:cs="Times New Roman"/>
                <w:color w:val="000000"/>
                <w:szCs w:val="24"/>
              </w:rPr>
              <w:t>Regional collaboration reserves</w:t>
            </w:r>
          </w:p>
        </w:tc>
        <w:tc>
          <w:tcPr>
            <w:tcW w:w="0" w:type="auto"/>
            <w:vAlign w:val="center"/>
          </w:tcPr>
          <w:p w14:paraId="504079A5" w14:textId="77777777" w:rsidR="006A30ED" w:rsidRDefault="006A30ED" w:rsidP="006A30ED">
            <w:pPr>
              <w:ind w:right="57"/>
              <w:jc w:val="right"/>
              <w:rPr>
                <w:rFonts w:ascii="Calibri Light" w:hAnsi="Calibri Light" w:cs="Times New Roman"/>
                <w:color w:val="000000"/>
                <w:szCs w:val="24"/>
              </w:rPr>
            </w:pPr>
            <w:r>
              <w:rPr>
                <w:rFonts w:ascii="Calibri Light" w:hAnsi="Calibri Light" w:cs="Times New Roman"/>
                <w:color w:val="000000"/>
                <w:szCs w:val="24"/>
              </w:rPr>
              <w:t>0.458</w:t>
            </w:r>
          </w:p>
        </w:tc>
      </w:tr>
      <w:tr w:rsidR="006A30ED" w:rsidRPr="00220833" w14:paraId="30A2BC87" w14:textId="77777777" w:rsidTr="00F444FB">
        <w:trPr>
          <w:trHeight w:val="315"/>
          <w:jc w:val="center"/>
        </w:trPr>
        <w:tc>
          <w:tcPr>
            <w:tcW w:w="4616" w:type="dxa"/>
            <w:noWrap/>
            <w:vAlign w:val="center"/>
          </w:tcPr>
          <w:p w14:paraId="71885071" w14:textId="77777777" w:rsidR="006A30ED" w:rsidRPr="007D72B6" w:rsidRDefault="006A30ED" w:rsidP="006A30ED">
            <w:pPr>
              <w:rPr>
                <w:rFonts w:ascii="Calibri Light" w:hAnsi="Calibri Light" w:cs="Times New Roman"/>
                <w:color w:val="000000"/>
                <w:szCs w:val="24"/>
              </w:rPr>
            </w:pPr>
            <w:r w:rsidRPr="007D72B6">
              <w:rPr>
                <w:rFonts w:ascii="Calibri Light" w:hAnsi="Calibri Light" w:cs="Times New Roman"/>
                <w:color w:val="000000"/>
                <w:szCs w:val="24"/>
              </w:rPr>
              <w:t>Proceeds of crime act reserve</w:t>
            </w:r>
            <w:r>
              <w:rPr>
                <w:rFonts w:ascii="Calibri Light" w:hAnsi="Calibri Light" w:cs="Times New Roman"/>
                <w:color w:val="000000"/>
                <w:szCs w:val="24"/>
              </w:rPr>
              <w:t>s</w:t>
            </w:r>
          </w:p>
        </w:tc>
        <w:tc>
          <w:tcPr>
            <w:tcW w:w="0" w:type="auto"/>
            <w:vAlign w:val="center"/>
          </w:tcPr>
          <w:p w14:paraId="5CA13CB4" w14:textId="77777777" w:rsidR="006A30ED" w:rsidRPr="007D72B6" w:rsidRDefault="006A30ED" w:rsidP="006A30ED">
            <w:pPr>
              <w:ind w:right="57"/>
              <w:jc w:val="right"/>
              <w:rPr>
                <w:rFonts w:ascii="Calibri Light" w:hAnsi="Calibri Light" w:cs="Times New Roman"/>
                <w:color w:val="000000"/>
                <w:szCs w:val="24"/>
              </w:rPr>
            </w:pPr>
            <w:r>
              <w:rPr>
                <w:rFonts w:ascii="Calibri Light" w:hAnsi="Calibri Light" w:cs="Times New Roman"/>
                <w:color w:val="000000"/>
                <w:szCs w:val="24"/>
              </w:rPr>
              <w:t>3.823</w:t>
            </w:r>
          </w:p>
        </w:tc>
      </w:tr>
      <w:tr w:rsidR="006A30ED" w:rsidRPr="00220833" w14:paraId="6FB1FC37" w14:textId="77777777" w:rsidTr="00F444FB">
        <w:trPr>
          <w:trHeight w:val="363"/>
          <w:jc w:val="center"/>
        </w:trPr>
        <w:tc>
          <w:tcPr>
            <w:tcW w:w="4616" w:type="dxa"/>
            <w:shd w:val="clear" w:color="auto" w:fill="DEEAF6" w:themeFill="accent1" w:themeFillTint="33"/>
            <w:noWrap/>
            <w:vAlign w:val="center"/>
            <w:hideMark/>
          </w:tcPr>
          <w:p w14:paraId="6E275989" w14:textId="77777777" w:rsidR="006A30ED" w:rsidRPr="007D72B6" w:rsidRDefault="006A30ED" w:rsidP="006A30ED">
            <w:pPr>
              <w:rPr>
                <w:rFonts w:ascii="Calibri Light" w:hAnsi="Calibri Light" w:cs="Times New Roman"/>
                <w:b/>
                <w:color w:val="000000"/>
                <w:szCs w:val="24"/>
              </w:rPr>
            </w:pPr>
            <w:r w:rsidRPr="007D72B6">
              <w:rPr>
                <w:rFonts w:ascii="Calibri Light" w:hAnsi="Calibri Light" w:cs="Times New Roman"/>
                <w:b/>
                <w:color w:val="000000"/>
                <w:szCs w:val="24"/>
              </w:rPr>
              <w:t>Total Earmarked Reserves</w:t>
            </w:r>
          </w:p>
        </w:tc>
        <w:tc>
          <w:tcPr>
            <w:tcW w:w="0" w:type="auto"/>
            <w:shd w:val="clear" w:color="auto" w:fill="DEEAF6" w:themeFill="accent1" w:themeFillTint="33"/>
            <w:vAlign w:val="center"/>
          </w:tcPr>
          <w:p w14:paraId="60EFEF08" w14:textId="77777777" w:rsidR="006A30ED" w:rsidRPr="007D72B6" w:rsidRDefault="006A30ED" w:rsidP="006A30ED">
            <w:pPr>
              <w:ind w:right="57"/>
              <w:jc w:val="right"/>
              <w:rPr>
                <w:rFonts w:ascii="Calibri Light" w:hAnsi="Calibri Light" w:cs="Times New Roman"/>
                <w:b/>
                <w:color w:val="000000"/>
                <w:szCs w:val="24"/>
              </w:rPr>
            </w:pPr>
            <w:r>
              <w:rPr>
                <w:rFonts w:ascii="Calibri Light" w:hAnsi="Calibri Light" w:cs="Times New Roman"/>
                <w:b/>
                <w:color w:val="000000"/>
                <w:szCs w:val="24"/>
              </w:rPr>
              <w:fldChar w:fldCharType="begin"/>
            </w:r>
            <w:r>
              <w:rPr>
                <w:rFonts w:ascii="Calibri Light" w:hAnsi="Calibri Light" w:cs="Times New Roman"/>
                <w:b/>
                <w:color w:val="000000"/>
                <w:szCs w:val="24"/>
              </w:rPr>
              <w:instrText xml:space="preserve"> =SUM(ABOVE) </w:instrText>
            </w:r>
            <w:r>
              <w:rPr>
                <w:rFonts w:ascii="Calibri Light" w:hAnsi="Calibri Light" w:cs="Times New Roman"/>
                <w:b/>
                <w:color w:val="000000"/>
                <w:szCs w:val="24"/>
              </w:rPr>
              <w:fldChar w:fldCharType="separate"/>
            </w:r>
            <w:r>
              <w:rPr>
                <w:rFonts w:ascii="Calibri Light" w:hAnsi="Calibri Light" w:cs="Times New Roman"/>
                <w:b/>
                <w:noProof/>
                <w:color w:val="000000"/>
                <w:szCs w:val="24"/>
              </w:rPr>
              <w:t>8.291</w:t>
            </w:r>
            <w:r>
              <w:rPr>
                <w:rFonts w:ascii="Calibri Light" w:hAnsi="Calibri Light" w:cs="Times New Roman"/>
                <w:b/>
                <w:color w:val="000000"/>
                <w:szCs w:val="24"/>
              </w:rPr>
              <w:fldChar w:fldCharType="end"/>
            </w:r>
          </w:p>
        </w:tc>
      </w:tr>
      <w:tr w:rsidR="006A30ED" w:rsidRPr="00220833" w14:paraId="543E56A1" w14:textId="77777777" w:rsidTr="00F444FB">
        <w:trPr>
          <w:trHeight w:val="165"/>
          <w:jc w:val="center"/>
        </w:trPr>
        <w:tc>
          <w:tcPr>
            <w:tcW w:w="4616" w:type="dxa"/>
            <w:noWrap/>
            <w:vAlign w:val="center"/>
            <w:hideMark/>
          </w:tcPr>
          <w:p w14:paraId="1A25C2EB" w14:textId="77777777" w:rsidR="006A30ED" w:rsidRPr="007D72B6" w:rsidRDefault="006A30ED" w:rsidP="006A30ED">
            <w:pPr>
              <w:rPr>
                <w:rFonts w:ascii="Calibri Light" w:hAnsi="Calibri Light" w:cs="Times New Roman"/>
                <w:color w:val="000000"/>
                <w:szCs w:val="24"/>
              </w:rPr>
            </w:pPr>
          </w:p>
        </w:tc>
        <w:tc>
          <w:tcPr>
            <w:tcW w:w="0" w:type="auto"/>
            <w:vAlign w:val="center"/>
          </w:tcPr>
          <w:p w14:paraId="3F2D9F20" w14:textId="77777777" w:rsidR="006A30ED" w:rsidRPr="007D72B6" w:rsidRDefault="006A30ED" w:rsidP="006A30ED">
            <w:pPr>
              <w:ind w:right="57"/>
              <w:jc w:val="right"/>
              <w:rPr>
                <w:rFonts w:ascii="Calibri Light" w:hAnsi="Calibri Light" w:cs="Times New Roman"/>
                <w:color w:val="000000"/>
                <w:szCs w:val="24"/>
              </w:rPr>
            </w:pPr>
          </w:p>
        </w:tc>
      </w:tr>
      <w:tr w:rsidR="006A30ED" w:rsidRPr="00970F0E" w14:paraId="4C2A1EE6" w14:textId="77777777" w:rsidTr="00F444FB">
        <w:trPr>
          <w:trHeight w:val="330"/>
          <w:jc w:val="center"/>
        </w:trPr>
        <w:tc>
          <w:tcPr>
            <w:tcW w:w="4616" w:type="dxa"/>
            <w:shd w:val="clear" w:color="auto" w:fill="DEEAF6" w:themeFill="accent1" w:themeFillTint="33"/>
            <w:noWrap/>
            <w:vAlign w:val="center"/>
            <w:hideMark/>
          </w:tcPr>
          <w:p w14:paraId="768E4DAE" w14:textId="77777777" w:rsidR="006A30ED" w:rsidRPr="007D72B6" w:rsidRDefault="006A30ED" w:rsidP="006A30ED">
            <w:pPr>
              <w:rPr>
                <w:rFonts w:ascii="Calibri Light" w:hAnsi="Calibri Light" w:cs="Times New Roman"/>
                <w:b/>
                <w:color w:val="000000"/>
                <w:szCs w:val="24"/>
              </w:rPr>
            </w:pPr>
            <w:r w:rsidRPr="007D72B6">
              <w:rPr>
                <w:rFonts w:ascii="Calibri Light" w:hAnsi="Calibri Light" w:cs="Times New Roman"/>
                <w:b/>
                <w:color w:val="000000"/>
                <w:szCs w:val="24"/>
              </w:rPr>
              <w:t>General Reserves</w:t>
            </w:r>
          </w:p>
        </w:tc>
        <w:tc>
          <w:tcPr>
            <w:tcW w:w="0" w:type="auto"/>
            <w:shd w:val="clear" w:color="auto" w:fill="DEEAF6" w:themeFill="accent1" w:themeFillTint="33"/>
            <w:vAlign w:val="center"/>
          </w:tcPr>
          <w:p w14:paraId="5A24ADBD" w14:textId="77777777" w:rsidR="006A30ED" w:rsidRPr="007D72B6" w:rsidRDefault="006A30ED" w:rsidP="006A30ED">
            <w:pPr>
              <w:ind w:right="57"/>
              <w:jc w:val="right"/>
              <w:rPr>
                <w:rFonts w:ascii="Calibri Light" w:hAnsi="Calibri Light" w:cs="Times New Roman"/>
                <w:b/>
                <w:color w:val="000000"/>
                <w:szCs w:val="24"/>
              </w:rPr>
            </w:pPr>
            <w:r>
              <w:rPr>
                <w:rFonts w:ascii="Calibri Light" w:hAnsi="Calibri Light" w:cs="Times New Roman"/>
                <w:b/>
                <w:color w:val="000000"/>
                <w:szCs w:val="24"/>
              </w:rPr>
              <w:t>13.796</w:t>
            </w:r>
          </w:p>
        </w:tc>
      </w:tr>
    </w:tbl>
    <w:p w14:paraId="5DFB37BD" w14:textId="77777777" w:rsidR="00783E3D" w:rsidRDefault="00783E3D" w:rsidP="00783E3D">
      <w:pPr>
        <w:spacing w:after="120"/>
        <w:ind w:left="792"/>
        <w:jc w:val="both"/>
        <w:rPr>
          <w:rFonts w:cs="Arial"/>
          <w:bCs/>
          <w:sz w:val="22"/>
        </w:rPr>
      </w:pPr>
    </w:p>
    <w:p w14:paraId="0B7728F0" w14:textId="11E356E0" w:rsidR="00C53318" w:rsidRPr="00C9656B" w:rsidRDefault="00C53318" w:rsidP="00E47576">
      <w:pPr>
        <w:numPr>
          <w:ilvl w:val="1"/>
          <w:numId w:val="3"/>
        </w:numPr>
        <w:spacing w:after="120"/>
        <w:jc w:val="both"/>
        <w:rPr>
          <w:rFonts w:cs="Arial"/>
          <w:bCs/>
          <w:sz w:val="22"/>
        </w:rPr>
      </w:pPr>
      <w:r w:rsidRPr="00C9656B">
        <w:rPr>
          <w:rFonts w:cs="Arial"/>
          <w:bCs/>
          <w:sz w:val="22"/>
        </w:rPr>
        <w:t>The Commissioner, in conjunction with the Chief Constable, will review the capital investment strategy and the reserves strategy during 20</w:t>
      </w:r>
      <w:r w:rsidR="00A4444A">
        <w:rPr>
          <w:rFonts w:cs="Arial"/>
          <w:bCs/>
          <w:sz w:val="22"/>
        </w:rPr>
        <w:t>26</w:t>
      </w:r>
      <w:r w:rsidR="006A30ED">
        <w:rPr>
          <w:rFonts w:cs="Arial"/>
          <w:bCs/>
          <w:sz w:val="22"/>
        </w:rPr>
        <w:t>/27</w:t>
      </w:r>
      <w:r w:rsidR="00A4444A">
        <w:rPr>
          <w:rFonts w:cs="Arial"/>
          <w:bCs/>
          <w:sz w:val="22"/>
        </w:rPr>
        <w:t xml:space="preserve"> </w:t>
      </w:r>
      <w:r w:rsidRPr="00C9656B">
        <w:rPr>
          <w:rFonts w:cs="Arial"/>
          <w:bCs/>
          <w:sz w:val="22"/>
        </w:rPr>
        <w:t>to ensure sufficient resources are made available for the financing of the capital programme in future years.</w:t>
      </w:r>
    </w:p>
    <w:p w14:paraId="2AE62ABA" w14:textId="77777777" w:rsidR="00E47576" w:rsidRDefault="00E47576" w:rsidP="00E47576">
      <w:pPr>
        <w:spacing w:after="120"/>
        <w:jc w:val="both"/>
        <w:rPr>
          <w:rFonts w:cs="Arial"/>
          <w:bCs/>
          <w:szCs w:val="24"/>
        </w:rPr>
      </w:pPr>
    </w:p>
    <w:p w14:paraId="6E938AD6" w14:textId="4D8B06A0" w:rsidR="004862DA" w:rsidRDefault="004862DA">
      <w:pPr>
        <w:rPr>
          <w:rFonts w:cs="Times New Roman"/>
          <w:sz w:val="22"/>
          <w:szCs w:val="24"/>
        </w:rPr>
      </w:pPr>
    </w:p>
    <w:p w14:paraId="43BF3498" w14:textId="4AD89A73" w:rsidR="00E47576" w:rsidRPr="008366B4" w:rsidRDefault="00E47576" w:rsidP="00E47576">
      <w:pPr>
        <w:pStyle w:val="ListParagraph"/>
        <w:numPr>
          <w:ilvl w:val="0"/>
          <w:numId w:val="3"/>
        </w:numPr>
        <w:spacing w:after="240"/>
        <w:ind w:left="357" w:hanging="357"/>
        <w:contextualSpacing w:val="0"/>
        <w:rPr>
          <w:b/>
          <w:bCs/>
        </w:rPr>
      </w:pPr>
      <w:r w:rsidRPr="008366B4">
        <w:rPr>
          <w:b/>
          <w:bCs/>
        </w:rPr>
        <w:t>Risk Management</w:t>
      </w:r>
    </w:p>
    <w:p w14:paraId="72AA0CEF" w14:textId="23D6BA42" w:rsidR="00C52D72" w:rsidRDefault="00C52D72" w:rsidP="00C52D72">
      <w:pPr>
        <w:pStyle w:val="ListParagraph"/>
        <w:numPr>
          <w:ilvl w:val="1"/>
          <w:numId w:val="3"/>
        </w:numPr>
        <w:spacing w:after="240"/>
        <w:contextualSpacing w:val="0"/>
      </w:pPr>
      <w:r>
        <w:t>The PCC and Chief Constab</w:t>
      </w:r>
      <w:r w:rsidR="00A21EA9">
        <w:t>le have risk management strategies that are reviewed annually.</w:t>
      </w:r>
    </w:p>
    <w:p w14:paraId="7FB42B8C" w14:textId="44D0D531" w:rsidR="00A21EA9" w:rsidRDefault="00A21EA9" w:rsidP="00C52D72">
      <w:pPr>
        <w:pStyle w:val="ListParagraph"/>
        <w:numPr>
          <w:ilvl w:val="1"/>
          <w:numId w:val="3"/>
        </w:numPr>
        <w:spacing w:after="240"/>
        <w:contextualSpacing w:val="0"/>
      </w:pPr>
      <w:r>
        <w:t xml:space="preserve">Risk registers are maintained and reviewed </w:t>
      </w:r>
      <w:proofErr w:type="gramStart"/>
      <w:r>
        <w:t>on a monthly basis</w:t>
      </w:r>
      <w:proofErr w:type="gramEnd"/>
      <w:r>
        <w:t>. These are reported to the Joint Independent Audit Committee every 6 months for review and challenge,</w:t>
      </w:r>
    </w:p>
    <w:p w14:paraId="116172AC" w14:textId="79227B23" w:rsidR="00A21EA9" w:rsidRDefault="00A21EA9" w:rsidP="00C52D72">
      <w:pPr>
        <w:pStyle w:val="ListParagraph"/>
        <w:numPr>
          <w:ilvl w:val="1"/>
          <w:numId w:val="3"/>
        </w:numPr>
        <w:spacing w:after="240"/>
        <w:contextualSpacing w:val="0"/>
      </w:pPr>
      <w:r>
        <w:t>All decisions made by the PCC are subject to risk consideration</w:t>
      </w:r>
    </w:p>
    <w:p w14:paraId="20E0B42E" w14:textId="77777777" w:rsidR="00E47576" w:rsidRDefault="00E47576" w:rsidP="00E47576">
      <w:pPr>
        <w:pStyle w:val="ListParagraph"/>
        <w:spacing w:after="240"/>
        <w:ind w:left="357"/>
        <w:contextualSpacing w:val="0"/>
      </w:pPr>
    </w:p>
    <w:p w14:paraId="017EE74F" w14:textId="31EF488E" w:rsidR="004862DA" w:rsidRPr="008366B4" w:rsidRDefault="004862DA" w:rsidP="00E47576">
      <w:pPr>
        <w:pStyle w:val="ListParagraph"/>
        <w:numPr>
          <w:ilvl w:val="0"/>
          <w:numId w:val="3"/>
        </w:numPr>
        <w:spacing w:after="240"/>
        <w:ind w:left="357" w:hanging="357"/>
        <w:contextualSpacing w:val="0"/>
        <w:rPr>
          <w:b/>
          <w:bCs/>
        </w:rPr>
      </w:pPr>
      <w:r w:rsidRPr="008366B4">
        <w:rPr>
          <w:b/>
          <w:bCs/>
        </w:rPr>
        <w:t>Conclusion</w:t>
      </w:r>
    </w:p>
    <w:p w14:paraId="76FBD0D2" w14:textId="6BFD22C0" w:rsidR="00E47576" w:rsidRPr="00C9656B" w:rsidRDefault="00E47576" w:rsidP="00E47576">
      <w:pPr>
        <w:numPr>
          <w:ilvl w:val="1"/>
          <w:numId w:val="3"/>
        </w:numPr>
        <w:spacing w:after="120"/>
        <w:jc w:val="both"/>
        <w:rPr>
          <w:rFonts w:cs="Arial"/>
          <w:bCs/>
          <w:sz w:val="22"/>
        </w:rPr>
      </w:pPr>
      <w:r w:rsidRPr="00C9656B">
        <w:rPr>
          <w:rFonts w:cs="Arial"/>
          <w:bCs/>
          <w:sz w:val="22"/>
        </w:rPr>
        <w:t>The review of the MTFS has again been undertaken against a background of significant demand pressure, financial reforms and increasing costs.</w:t>
      </w:r>
      <w:r w:rsidR="009124DA" w:rsidRPr="00C9656B">
        <w:rPr>
          <w:rFonts w:cs="Arial"/>
          <w:bCs/>
          <w:sz w:val="22"/>
        </w:rPr>
        <w:t xml:space="preserve"> As a </w:t>
      </w:r>
      <w:r w:rsidR="0029414B" w:rsidRPr="00C9656B">
        <w:rPr>
          <w:rFonts w:cs="Arial"/>
          <w:bCs/>
          <w:sz w:val="22"/>
        </w:rPr>
        <w:t>result,</w:t>
      </w:r>
      <w:r w:rsidR="009124DA" w:rsidRPr="00C9656B">
        <w:rPr>
          <w:rFonts w:cs="Arial"/>
          <w:bCs/>
          <w:sz w:val="22"/>
        </w:rPr>
        <w:t xml:space="preserve"> a significant level of savings needs to be delivered over the next three years.</w:t>
      </w:r>
    </w:p>
    <w:p w14:paraId="172FC92D" w14:textId="6FB624BB" w:rsidR="00E47576" w:rsidRPr="00C9656B" w:rsidRDefault="00E47576" w:rsidP="00E47576">
      <w:pPr>
        <w:numPr>
          <w:ilvl w:val="1"/>
          <w:numId w:val="3"/>
        </w:numPr>
        <w:spacing w:after="120"/>
        <w:jc w:val="both"/>
        <w:rPr>
          <w:rFonts w:cs="Arial"/>
          <w:bCs/>
          <w:sz w:val="22"/>
        </w:rPr>
      </w:pPr>
      <w:r w:rsidRPr="00C9656B">
        <w:rPr>
          <w:rFonts w:cs="Arial"/>
          <w:bCs/>
          <w:sz w:val="22"/>
        </w:rPr>
        <w:t xml:space="preserve">The MTFS covers </w:t>
      </w:r>
      <w:r w:rsidR="009124DA" w:rsidRPr="00C9656B">
        <w:rPr>
          <w:rFonts w:cs="Arial"/>
          <w:bCs/>
          <w:sz w:val="22"/>
        </w:rPr>
        <w:t>the period to 202</w:t>
      </w:r>
      <w:r w:rsidR="00A4444A">
        <w:rPr>
          <w:rFonts w:cs="Arial"/>
          <w:bCs/>
          <w:sz w:val="22"/>
        </w:rPr>
        <w:t>8/29</w:t>
      </w:r>
      <w:r w:rsidRPr="00C9656B">
        <w:rPr>
          <w:rFonts w:cs="Arial"/>
          <w:bCs/>
          <w:sz w:val="22"/>
        </w:rPr>
        <w:t xml:space="preserve"> and funding beyond 202</w:t>
      </w:r>
      <w:r w:rsidR="00A4444A">
        <w:rPr>
          <w:rFonts w:cs="Arial"/>
          <w:bCs/>
          <w:sz w:val="22"/>
        </w:rPr>
        <w:t>6</w:t>
      </w:r>
      <w:r w:rsidR="006A30ED">
        <w:rPr>
          <w:rFonts w:cs="Arial"/>
          <w:bCs/>
          <w:sz w:val="22"/>
        </w:rPr>
        <w:t>/27</w:t>
      </w:r>
      <w:r w:rsidRPr="00C9656B">
        <w:rPr>
          <w:rFonts w:cs="Arial"/>
          <w:bCs/>
          <w:sz w:val="22"/>
        </w:rPr>
        <w:t xml:space="preserve"> remains </w:t>
      </w:r>
      <w:proofErr w:type="gramStart"/>
      <w:r w:rsidRPr="00C9656B">
        <w:rPr>
          <w:rFonts w:cs="Arial"/>
          <w:bCs/>
          <w:sz w:val="22"/>
        </w:rPr>
        <w:t>uncertain</w:t>
      </w:r>
      <w:proofErr w:type="gramEnd"/>
      <w:r w:rsidRPr="00C9656B">
        <w:rPr>
          <w:rFonts w:cs="Arial"/>
          <w:bCs/>
          <w:sz w:val="22"/>
        </w:rPr>
        <w:t xml:space="preserve"> </w:t>
      </w:r>
      <w:r w:rsidR="009124DA" w:rsidRPr="00C9656B">
        <w:rPr>
          <w:rFonts w:cs="Arial"/>
          <w:bCs/>
          <w:sz w:val="22"/>
        </w:rPr>
        <w:t>but work continues to forecast future resources and pressures to inform the financial planning process.</w:t>
      </w:r>
    </w:p>
    <w:p w14:paraId="348F9737" w14:textId="17396B06" w:rsidR="00E47576" w:rsidRPr="00C9656B" w:rsidRDefault="00E47576" w:rsidP="00E47576">
      <w:pPr>
        <w:numPr>
          <w:ilvl w:val="1"/>
          <w:numId w:val="3"/>
        </w:numPr>
        <w:spacing w:after="120"/>
        <w:jc w:val="both"/>
        <w:rPr>
          <w:rFonts w:cs="Arial"/>
          <w:bCs/>
          <w:sz w:val="22"/>
        </w:rPr>
      </w:pPr>
      <w:r w:rsidRPr="00C9656B">
        <w:rPr>
          <w:rFonts w:cs="Arial"/>
          <w:bCs/>
          <w:sz w:val="22"/>
        </w:rPr>
        <w:t xml:space="preserve">The MTFS identifies a potential financial gap of </w:t>
      </w:r>
      <w:r w:rsidR="009124DA" w:rsidRPr="00C9656B">
        <w:rPr>
          <w:rFonts w:cs="Arial"/>
          <w:bCs/>
          <w:sz w:val="22"/>
        </w:rPr>
        <w:t>£</w:t>
      </w:r>
      <w:r w:rsidR="006E51AF">
        <w:rPr>
          <w:rFonts w:cs="Arial"/>
          <w:bCs/>
          <w:sz w:val="22"/>
        </w:rPr>
        <w:t>1</w:t>
      </w:r>
      <w:r w:rsidR="006A30ED">
        <w:rPr>
          <w:rFonts w:cs="Arial"/>
          <w:bCs/>
          <w:sz w:val="22"/>
        </w:rPr>
        <w:t>0.522</w:t>
      </w:r>
      <w:r w:rsidRPr="00C9656B">
        <w:rPr>
          <w:rFonts w:cs="Arial"/>
          <w:bCs/>
          <w:sz w:val="22"/>
        </w:rPr>
        <w:t xml:space="preserve">m </w:t>
      </w:r>
      <w:r w:rsidR="009124DA" w:rsidRPr="00C9656B">
        <w:rPr>
          <w:rFonts w:cs="Arial"/>
          <w:bCs/>
          <w:sz w:val="22"/>
        </w:rPr>
        <w:t>to 202</w:t>
      </w:r>
      <w:r w:rsidR="00A4444A">
        <w:rPr>
          <w:rFonts w:cs="Arial"/>
          <w:bCs/>
          <w:sz w:val="22"/>
        </w:rPr>
        <w:t>8/29</w:t>
      </w:r>
      <w:r w:rsidRPr="00C9656B">
        <w:rPr>
          <w:rFonts w:cs="Arial"/>
          <w:bCs/>
          <w:sz w:val="22"/>
        </w:rPr>
        <w:t>. This follows the</w:t>
      </w:r>
      <w:r w:rsidR="006E51AF">
        <w:rPr>
          <w:rFonts w:cs="Arial"/>
          <w:bCs/>
          <w:sz w:val="22"/>
        </w:rPr>
        <w:t xml:space="preserve"> delivery of more than £</w:t>
      </w:r>
      <w:r w:rsidR="00A4444A">
        <w:rPr>
          <w:rFonts w:cs="Arial"/>
          <w:bCs/>
          <w:sz w:val="22"/>
        </w:rPr>
        <w:t>1</w:t>
      </w:r>
      <w:r w:rsidR="006A30ED">
        <w:rPr>
          <w:rFonts w:cs="Arial"/>
          <w:bCs/>
          <w:sz w:val="22"/>
        </w:rPr>
        <w:t>2</w:t>
      </w:r>
      <w:r w:rsidR="006E51AF">
        <w:rPr>
          <w:rFonts w:cs="Arial"/>
          <w:bCs/>
          <w:sz w:val="22"/>
        </w:rPr>
        <w:t>0m of savings by the</w:t>
      </w:r>
      <w:r w:rsidRPr="00C9656B">
        <w:rPr>
          <w:rFonts w:cs="Arial"/>
          <w:bCs/>
          <w:sz w:val="22"/>
        </w:rPr>
        <w:t xml:space="preserve"> </w:t>
      </w:r>
      <w:r w:rsidR="009124DA" w:rsidRPr="00C9656B">
        <w:rPr>
          <w:rFonts w:cs="Arial"/>
          <w:bCs/>
          <w:sz w:val="22"/>
        </w:rPr>
        <w:t>PCC and Constabulary since</w:t>
      </w:r>
      <w:r w:rsidRPr="00C9656B">
        <w:rPr>
          <w:rFonts w:cs="Arial"/>
          <w:bCs/>
          <w:sz w:val="22"/>
        </w:rPr>
        <w:t xml:space="preserve"> 2010.</w:t>
      </w:r>
    </w:p>
    <w:p w14:paraId="439537E0" w14:textId="39DF6954" w:rsidR="00E47576" w:rsidRPr="00C9656B" w:rsidRDefault="00E47576" w:rsidP="00E47576">
      <w:pPr>
        <w:numPr>
          <w:ilvl w:val="1"/>
          <w:numId w:val="3"/>
        </w:numPr>
        <w:spacing w:after="120"/>
        <w:jc w:val="both"/>
        <w:rPr>
          <w:rFonts w:cs="Arial"/>
          <w:bCs/>
          <w:sz w:val="22"/>
        </w:rPr>
      </w:pPr>
      <w:r w:rsidRPr="00C9656B">
        <w:rPr>
          <w:rFonts w:cs="Arial"/>
          <w:bCs/>
          <w:sz w:val="22"/>
        </w:rPr>
        <w:t xml:space="preserve">Although the financial context continues to be challenging and uncertain the </w:t>
      </w:r>
      <w:r w:rsidR="009124DA" w:rsidRPr="00C9656B">
        <w:rPr>
          <w:rFonts w:cs="Arial"/>
          <w:bCs/>
          <w:sz w:val="22"/>
        </w:rPr>
        <w:t>PCC and Constabulary have</w:t>
      </w:r>
      <w:r w:rsidRPr="00C9656B">
        <w:rPr>
          <w:rFonts w:cs="Arial"/>
          <w:bCs/>
          <w:sz w:val="22"/>
        </w:rPr>
        <w:t xml:space="preserve"> a track record of meeting </w:t>
      </w:r>
      <w:r w:rsidR="009124DA" w:rsidRPr="00C9656B">
        <w:rPr>
          <w:rFonts w:cs="Arial"/>
          <w:bCs/>
          <w:sz w:val="22"/>
        </w:rPr>
        <w:t>their</w:t>
      </w:r>
      <w:r w:rsidRPr="00C9656B">
        <w:rPr>
          <w:rFonts w:cs="Arial"/>
          <w:bCs/>
          <w:sz w:val="22"/>
        </w:rPr>
        <w:t xml:space="preserve"> financial obligations and maintaining financial sustainability. A </w:t>
      </w:r>
      <w:r w:rsidR="009124DA" w:rsidRPr="00C9656B">
        <w:rPr>
          <w:rFonts w:cs="Arial"/>
          <w:bCs/>
          <w:sz w:val="22"/>
        </w:rPr>
        <w:t>collaborative</w:t>
      </w:r>
      <w:r w:rsidRPr="00C9656B">
        <w:rPr>
          <w:rFonts w:cs="Arial"/>
          <w:bCs/>
          <w:sz w:val="22"/>
        </w:rPr>
        <w:t xml:space="preserve"> approach to the budget, which is priority driven and over a </w:t>
      </w:r>
      <w:r w:rsidR="00C52D72" w:rsidRPr="00C9656B">
        <w:rPr>
          <w:rFonts w:cs="Arial"/>
          <w:bCs/>
          <w:sz w:val="22"/>
        </w:rPr>
        <w:t>medium-term</w:t>
      </w:r>
      <w:r w:rsidRPr="00C9656B">
        <w:rPr>
          <w:rFonts w:cs="Arial"/>
          <w:bCs/>
          <w:sz w:val="22"/>
        </w:rPr>
        <w:t xml:space="preserve"> planning horizon will ensure that this continues to be the case.</w:t>
      </w:r>
    </w:p>
    <w:p w14:paraId="7F9B0A3C" w14:textId="13AD19A3" w:rsidR="00E47576" w:rsidRDefault="00E47576" w:rsidP="00E47576">
      <w:pPr>
        <w:numPr>
          <w:ilvl w:val="1"/>
          <w:numId w:val="3"/>
        </w:numPr>
        <w:spacing w:after="120"/>
        <w:jc w:val="both"/>
        <w:rPr>
          <w:rFonts w:cs="Arial"/>
          <w:bCs/>
          <w:sz w:val="22"/>
        </w:rPr>
      </w:pPr>
      <w:r w:rsidRPr="00C9656B">
        <w:rPr>
          <w:rFonts w:cs="Arial"/>
          <w:bCs/>
          <w:sz w:val="22"/>
        </w:rPr>
        <w:t xml:space="preserve">The </w:t>
      </w:r>
      <w:r w:rsidR="009124DA" w:rsidRPr="00C9656B">
        <w:rPr>
          <w:rFonts w:cs="Arial"/>
          <w:bCs/>
          <w:sz w:val="22"/>
        </w:rPr>
        <w:t>PCC and Chief Constable</w:t>
      </w:r>
      <w:r w:rsidRPr="00C9656B">
        <w:rPr>
          <w:rFonts w:cs="Arial"/>
          <w:bCs/>
          <w:sz w:val="22"/>
        </w:rPr>
        <w:t xml:space="preserve"> will continue to keep the MTFS under frequent review given the high degree of uncertainty surrounding the potential impact of government policy and government announcements on funding decisions.</w:t>
      </w:r>
    </w:p>
    <w:p w14:paraId="72BD304B" w14:textId="0DC4FD9B" w:rsidR="006E51AF" w:rsidRDefault="006E51AF" w:rsidP="006E51AF">
      <w:pPr>
        <w:spacing w:after="120"/>
        <w:jc w:val="both"/>
        <w:rPr>
          <w:rFonts w:cs="Arial"/>
          <w:bCs/>
          <w:sz w:val="22"/>
        </w:rPr>
      </w:pPr>
    </w:p>
    <w:p w14:paraId="5941C925" w14:textId="4BCE863A" w:rsidR="006E51AF" w:rsidRDefault="006E51AF" w:rsidP="006E51AF">
      <w:pPr>
        <w:spacing w:after="120"/>
        <w:jc w:val="both"/>
        <w:rPr>
          <w:rFonts w:cs="Arial"/>
          <w:bCs/>
          <w:sz w:val="22"/>
        </w:rPr>
      </w:pPr>
    </w:p>
    <w:tbl>
      <w:tblPr>
        <w:tblW w:w="9655" w:type="dxa"/>
        <w:tblCellMar>
          <w:top w:w="115" w:type="dxa"/>
          <w:left w:w="115" w:type="dxa"/>
          <w:right w:w="115" w:type="dxa"/>
        </w:tblCellMar>
        <w:tblLook w:val="0000" w:firstRow="0" w:lastRow="0" w:firstColumn="0" w:lastColumn="0" w:noHBand="0" w:noVBand="0"/>
      </w:tblPr>
      <w:tblGrid>
        <w:gridCol w:w="562"/>
        <w:gridCol w:w="9093"/>
      </w:tblGrid>
      <w:tr w:rsidR="00F31870" w:rsidRPr="00CE48B3" w14:paraId="44988F16" w14:textId="77777777" w:rsidTr="00905B76">
        <w:trPr>
          <w:cantSplit/>
          <w:hidden/>
        </w:trPr>
        <w:tc>
          <w:tcPr>
            <w:tcW w:w="9655" w:type="dxa"/>
            <w:gridSpan w:val="2"/>
          </w:tcPr>
          <w:p w14:paraId="5DF61536" w14:textId="1BDCF665" w:rsidR="004E6102" w:rsidRPr="00CE48B3" w:rsidRDefault="004E6102" w:rsidP="00C53265">
            <w:pPr>
              <w:rPr>
                <w:vanish/>
              </w:rPr>
            </w:pPr>
          </w:p>
        </w:tc>
      </w:tr>
      <w:tr w:rsidR="00F31870" w:rsidRPr="00CE48B3" w14:paraId="5AAB179D" w14:textId="77777777" w:rsidTr="00905B76">
        <w:trPr>
          <w:hidden/>
        </w:trPr>
        <w:tc>
          <w:tcPr>
            <w:tcW w:w="562" w:type="dxa"/>
            <w:tcMar>
              <w:top w:w="0" w:type="dxa"/>
            </w:tcMar>
          </w:tcPr>
          <w:p w14:paraId="2BB609FF" w14:textId="77777777" w:rsidR="00F31870" w:rsidRPr="00CE48B3" w:rsidRDefault="00F31870" w:rsidP="001F7577">
            <w:pPr>
              <w:rPr>
                <w:vanish/>
              </w:rPr>
            </w:pPr>
          </w:p>
        </w:tc>
        <w:tc>
          <w:tcPr>
            <w:tcW w:w="9093" w:type="dxa"/>
            <w:tcMar>
              <w:top w:w="0" w:type="dxa"/>
            </w:tcMar>
          </w:tcPr>
          <w:p w14:paraId="7D9866C2" w14:textId="77777777" w:rsidR="005552F2" w:rsidRPr="00CE48B3" w:rsidRDefault="005552F2" w:rsidP="001F7577">
            <w:pPr>
              <w:widowControl w:val="0"/>
              <w:rPr>
                <w:vanish/>
                <w:sz w:val="20"/>
                <w:szCs w:val="20"/>
              </w:rPr>
            </w:pPr>
          </w:p>
        </w:tc>
      </w:tr>
    </w:tbl>
    <w:p w14:paraId="70B5C011" w14:textId="77777777" w:rsidR="002F7636" w:rsidRDefault="002F7636" w:rsidP="002F7636">
      <w:pPr>
        <w:rPr>
          <w:vanish/>
        </w:rPr>
      </w:pPr>
      <w:r>
        <w:rPr>
          <w:vanish/>
        </w:rPr>
        <w:t>&lt;/LAYOUT_SECTION&gt;</w:t>
      </w:r>
    </w:p>
    <w:p w14:paraId="07964ACF" w14:textId="77777777" w:rsidR="002F7636" w:rsidRPr="00CE48B3" w:rsidRDefault="002F7636" w:rsidP="002F7636">
      <w:pPr>
        <w:rPr>
          <w:vanish/>
        </w:rPr>
      </w:pPr>
      <w:r>
        <w:rPr>
          <w:vanish/>
        </w:rPr>
        <w:t>&lt;TITLE_ONLY_LAYOUT_SECTION&gt;</w:t>
      </w:r>
    </w:p>
    <w:tbl>
      <w:tblPr>
        <w:tblW w:w="9655" w:type="dxa"/>
        <w:tblLayout w:type="fixed"/>
        <w:tblCellMar>
          <w:top w:w="115" w:type="dxa"/>
          <w:left w:w="115" w:type="dxa"/>
          <w:right w:w="115" w:type="dxa"/>
        </w:tblCellMar>
        <w:tblLook w:val="0000" w:firstRow="0" w:lastRow="0" w:firstColumn="0" w:lastColumn="0" w:noHBand="0" w:noVBand="0"/>
      </w:tblPr>
      <w:tblGrid>
        <w:gridCol w:w="9655"/>
      </w:tblGrid>
      <w:tr w:rsidR="00F31870" w:rsidRPr="00CE48B3" w14:paraId="7F05C104" w14:textId="77777777" w:rsidTr="00E3404B">
        <w:trPr>
          <w:cantSplit/>
          <w:hidden/>
        </w:trPr>
        <w:tc>
          <w:tcPr>
            <w:tcW w:w="9655" w:type="dxa"/>
          </w:tcPr>
          <w:p w14:paraId="2BC099C7" w14:textId="77777777" w:rsidR="00F31870" w:rsidRPr="00CE48B3" w:rsidRDefault="00F31870" w:rsidP="00B03D05">
            <w:pPr>
              <w:numPr>
                <w:ilvl w:val="0"/>
                <w:numId w:val="2"/>
              </w:numPr>
              <w:ind w:left="540" w:hanging="540"/>
              <w:rPr>
                <w:vanish/>
              </w:rPr>
            </w:pPr>
            <w:r w:rsidRPr="00CE48B3">
              <w:rPr>
                <w:rFonts w:ascii="Arial Bold" w:hAnsi="Arial Bold"/>
                <w:b/>
                <w:caps/>
                <w:vanish/>
              </w:rPr>
              <w:fldChar w:fldCharType="begin"/>
            </w:r>
            <w:r w:rsidRPr="00CE48B3">
              <w:rPr>
                <w:rFonts w:ascii="Arial Bold" w:hAnsi="Arial Bold"/>
                <w:b/>
                <w:caps/>
                <w:vanish/>
              </w:rPr>
              <w:instrText xml:space="preserve"> QUOTE "FIELD_TITLE" \* MERGEFORMAT </w:instrText>
            </w:r>
            <w:r w:rsidRPr="00CE48B3">
              <w:rPr>
                <w:rFonts w:ascii="Arial Bold" w:hAnsi="Arial Bold"/>
                <w:b/>
                <w:caps/>
                <w:vanish/>
              </w:rPr>
              <w:fldChar w:fldCharType="separate"/>
            </w:r>
            <w:r w:rsidR="00CE48B3" w:rsidRPr="00CE48B3">
              <w:rPr>
                <w:rFonts w:ascii="Arial Bold" w:hAnsi="Arial Bold"/>
                <w:b/>
                <w:caps/>
                <w:vanish/>
              </w:rPr>
              <w:t>FIELD_TITLE</w:t>
            </w:r>
            <w:r w:rsidRPr="00CE48B3">
              <w:rPr>
                <w:rFonts w:ascii="Arial Bold" w:hAnsi="Arial Bold"/>
                <w:b/>
                <w:caps/>
                <w:vanish/>
              </w:rPr>
              <w:fldChar w:fldCharType="end"/>
            </w:r>
            <w:r w:rsidRPr="00CE48B3">
              <w:rPr>
                <w:vanish/>
              </w:rPr>
              <w:t xml:space="preserve"> </w:t>
            </w:r>
          </w:p>
          <w:p w14:paraId="16D83213" w14:textId="77777777" w:rsidR="0002784F" w:rsidRPr="00CE48B3" w:rsidRDefault="0002784F" w:rsidP="0002784F">
            <w:pPr>
              <w:rPr>
                <w:vanish/>
              </w:rPr>
            </w:pPr>
          </w:p>
        </w:tc>
      </w:tr>
    </w:tbl>
    <w:p w14:paraId="1ACAA68C" w14:textId="77777777" w:rsidR="002D7D73" w:rsidRDefault="002D7D73" w:rsidP="002D7D73">
      <w:pPr>
        <w:tabs>
          <w:tab w:val="right" w:pos="9072"/>
          <w:tab w:val="right" w:pos="9356"/>
        </w:tabs>
        <w:ind w:left="709" w:hanging="709"/>
        <w:rPr>
          <w:vanish/>
        </w:rPr>
      </w:pPr>
      <w:r>
        <w:rPr>
          <w:vanish/>
        </w:rPr>
        <w:t>&lt;/TITLE_ONLY_LAYOUT_SECTION&gt;</w:t>
      </w:r>
    </w:p>
    <w:p w14:paraId="6B641881" w14:textId="77777777" w:rsidR="00260871" w:rsidRDefault="00260871" w:rsidP="000A18C9">
      <w:pPr>
        <w:rPr>
          <w:vanish/>
        </w:rPr>
      </w:pPr>
    </w:p>
    <w:p w14:paraId="7A0D1049" w14:textId="77777777" w:rsidR="003F6CD3" w:rsidRPr="00CE48B3" w:rsidRDefault="003F6CD3">
      <w:pPr>
        <w:ind w:left="720" w:hanging="720"/>
        <w:rPr>
          <w:vanish/>
        </w:rPr>
      </w:pPr>
      <w:r>
        <w:rPr>
          <w:vanish/>
        </w:rPr>
        <w:t>&lt;HEADING_LAYOUT_SECTION&gt;</w:t>
      </w:r>
    </w:p>
    <w:p w14:paraId="6236B16F" w14:textId="77777777" w:rsidR="00976460" w:rsidRPr="00CE48B3" w:rsidRDefault="00976460">
      <w:pPr>
        <w:ind w:left="720" w:hanging="720"/>
        <w:rPr>
          <w:vanish/>
          <w:sz w:val="28"/>
          <w:szCs w:val="28"/>
        </w:rPr>
      </w:pPr>
      <w:r w:rsidRPr="00CE48B3">
        <w:rPr>
          <w:b/>
          <w:bCs/>
          <w:vanish/>
          <w:sz w:val="28"/>
          <w:szCs w:val="28"/>
        </w:rPr>
        <w:fldChar w:fldCharType="begin"/>
      </w:r>
      <w:r w:rsidRPr="00CE48B3">
        <w:rPr>
          <w:b/>
          <w:bCs/>
          <w:vanish/>
          <w:sz w:val="28"/>
          <w:szCs w:val="28"/>
        </w:rPr>
        <w:instrText xml:space="preserve"> QUOTE "FIELD_TITLE" \* MERGEFORMAT </w:instrText>
      </w:r>
      <w:r w:rsidRPr="00CE48B3">
        <w:rPr>
          <w:b/>
          <w:bCs/>
          <w:vanish/>
          <w:sz w:val="28"/>
          <w:szCs w:val="28"/>
        </w:rPr>
        <w:fldChar w:fldCharType="separate"/>
      </w:r>
      <w:r w:rsidR="00CE48B3" w:rsidRPr="00CE48B3">
        <w:rPr>
          <w:b/>
          <w:bCs/>
          <w:vanish/>
          <w:sz w:val="28"/>
          <w:szCs w:val="28"/>
        </w:rPr>
        <w:t>FIELD_TITLE</w:t>
      </w:r>
      <w:r w:rsidRPr="00CE48B3">
        <w:rPr>
          <w:b/>
          <w:bCs/>
          <w:vanish/>
          <w:sz w:val="28"/>
          <w:szCs w:val="28"/>
        </w:rPr>
        <w:fldChar w:fldCharType="end"/>
      </w:r>
    </w:p>
    <w:p w14:paraId="6741E556" w14:textId="77777777" w:rsidR="00976460" w:rsidRPr="00CE48B3" w:rsidRDefault="00976460">
      <w:pPr>
        <w:ind w:left="720" w:hanging="720"/>
        <w:rPr>
          <w:vanish/>
        </w:rPr>
      </w:pPr>
    </w:p>
    <w:p w14:paraId="6607F14D" w14:textId="77777777" w:rsidR="003F6CD3" w:rsidRDefault="003F6CD3" w:rsidP="000A18C9">
      <w:pPr>
        <w:rPr>
          <w:vanish/>
        </w:rPr>
      </w:pPr>
      <w:r>
        <w:rPr>
          <w:vanish/>
        </w:rPr>
        <w:t>&lt;/HEADING_LAYOUT_SECTION&gt;</w:t>
      </w:r>
    </w:p>
    <w:p w14:paraId="59C107BD" w14:textId="77777777" w:rsidR="003F6CD3" w:rsidRPr="00CE48B3" w:rsidRDefault="003F6CD3" w:rsidP="000A18C9">
      <w:pPr>
        <w:rPr>
          <w:vanish/>
        </w:rPr>
      </w:pPr>
      <w:r>
        <w:rPr>
          <w:vanish/>
        </w:rPr>
        <w:t>&lt;TITLED_COMMENT_LAYOUT_SECTION&gt;</w:t>
      </w:r>
    </w:p>
    <w:tbl>
      <w:tblPr>
        <w:tblW w:w="9630" w:type="dxa"/>
        <w:tblInd w:w="25" w:type="dxa"/>
        <w:tblLayout w:type="fixed"/>
        <w:tblCellMar>
          <w:top w:w="115" w:type="dxa"/>
          <w:left w:w="115" w:type="dxa"/>
          <w:right w:w="115" w:type="dxa"/>
        </w:tblCellMar>
        <w:tblLook w:val="0000" w:firstRow="0" w:lastRow="0" w:firstColumn="0" w:lastColumn="0" w:noHBand="0" w:noVBand="0"/>
      </w:tblPr>
      <w:tblGrid>
        <w:gridCol w:w="9630"/>
      </w:tblGrid>
      <w:tr w:rsidR="001F7918" w:rsidRPr="00CE48B3" w14:paraId="4B75C2BB" w14:textId="77777777" w:rsidTr="00E3404B">
        <w:trPr>
          <w:hidden/>
        </w:trPr>
        <w:tc>
          <w:tcPr>
            <w:tcW w:w="9630" w:type="dxa"/>
          </w:tcPr>
          <w:p w14:paraId="5D52C5A9" w14:textId="77777777" w:rsidR="001F7918" w:rsidRPr="00CE48B3" w:rsidRDefault="001F7918" w:rsidP="000C6E5C">
            <w:pPr>
              <w:widowControl w:val="0"/>
              <w:rPr>
                <w:rFonts w:ascii="Arial Bold" w:hAnsi="Arial Bold"/>
                <w:vanish/>
                <w:sz w:val="28"/>
                <w:u w:val="single"/>
              </w:rPr>
            </w:pPr>
            <w:r w:rsidRPr="00CE48B3">
              <w:rPr>
                <w:rFonts w:ascii="Arial Bold" w:hAnsi="Arial Bold"/>
                <w:b/>
                <w:bCs/>
                <w:caps/>
                <w:vanish/>
                <w:sz w:val="28"/>
                <w:u w:val="single"/>
              </w:rPr>
              <w:fldChar w:fldCharType="begin"/>
            </w:r>
            <w:r w:rsidRPr="00CE48B3">
              <w:rPr>
                <w:rFonts w:ascii="Arial Bold" w:hAnsi="Arial Bold"/>
                <w:b/>
                <w:bCs/>
                <w:caps/>
                <w:vanish/>
                <w:sz w:val="28"/>
                <w:u w:val="single"/>
              </w:rPr>
              <w:instrText xml:space="preserve"> QUOTE "FIELD_TITLE" \* MERGEFORMAT </w:instrText>
            </w:r>
            <w:r w:rsidRPr="00CE48B3">
              <w:rPr>
                <w:rFonts w:ascii="Arial Bold" w:hAnsi="Arial Bold"/>
                <w:b/>
                <w:bCs/>
                <w:caps/>
                <w:vanish/>
                <w:sz w:val="28"/>
                <w:u w:val="single"/>
              </w:rPr>
              <w:fldChar w:fldCharType="separate"/>
            </w:r>
            <w:r w:rsidR="00CE48B3" w:rsidRPr="00CE48B3">
              <w:rPr>
                <w:rFonts w:ascii="Arial Bold" w:hAnsi="Arial Bold"/>
                <w:b/>
                <w:bCs/>
                <w:caps/>
                <w:vanish/>
                <w:sz w:val="28"/>
                <w:u w:val="single"/>
              </w:rPr>
              <w:t>FIELD_TITLE</w:t>
            </w:r>
            <w:r w:rsidRPr="00CE48B3">
              <w:rPr>
                <w:rFonts w:ascii="Arial Bold" w:hAnsi="Arial Bold"/>
                <w:b/>
                <w:bCs/>
                <w:caps/>
                <w:vanish/>
                <w:sz w:val="28"/>
                <w:u w:val="single"/>
              </w:rPr>
              <w:fldChar w:fldCharType="end"/>
            </w:r>
          </w:p>
        </w:tc>
      </w:tr>
      <w:tr w:rsidR="001F7918" w:rsidRPr="00CE48B3" w14:paraId="75FE076C" w14:textId="77777777" w:rsidTr="00E3404B">
        <w:trPr>
          <w:hidden/>
        </w:trPr>
        <w:tc>
          <w:tcPr>
            <w:tcW w:w="9630" w:type="dxa"/>
          </w:tcPr>
          <w:p w14:paraId="7FBC4DB5" w14:textId="77777777" w:rsidR="001F7918" w:rsidRPr="00CE48B3" w:rsidRDefault="001F7918" w:rsidP="00C53265">
            <w:pPr>
              <w:ind w:left="720" w:hanging="720"/>
              <w:rPr>
                <w:vanish/>
              </w:rPr>
            </w:pPr>
            <w:r w:rsidRPr="00CE48B3">
              <w:rPr>
                <w:vanish/>
              </w:rPr>
              <w:fldChar w:fldCharType="begin"/>
            </w:r>
            <w:r w:rsidRPr="00CE48B3">
              <w:rPr>
                <w:vanish/>
              </w:rPr>
              <w:instrText xml:space="preserve"> QUOTE  "FIELD_SUMMARY"  \* MERGEFORMAT </w:instrText>
            </w:r>
            <w:r w:rsidRPr="00CE48B3">
              <w:rPr>
                <w:vanish/>
              </w:rPr>
              <w:fldChar w:fldCharType="separate"/>
            </w:r>
            <w:r w:rsidR="00CE48B3" w:rsidRPr="00CE48B3">
              <w:rPr>
                <w:vanish/>
              </w:rPr>
              <w:t>FIELD_SUMMARY</w:t>
            </w:r>
            <w:r w:rsidRPr="00CE48B3">
              <w:rPr>
                <w:vanish/>
              </w:rPr>
              <w:fldChar w:fldCharType="end"/>
            </w:r>
          </w:p>
        </w:tc>
      </w:tr>
    </w:tbl>
    <w:p w14:paraId="2D6F9F04" w14:textId="77777777" w:rsidR="003F6CD3" w:rsidRDefault="001F7918" w:rsidP="000A18C9">
      <w:pPr>
        <w:rPr>
          <w:vanish/>
        </w:rPr>
      </w:pPr>
      <w:r>
        <w:rPr>
          <w:vanish/>
        </w:rPr>
        <w:t>&lt;/</w:t>
      </w:r>
      <w:r w:rsidR="003F6CD3">
        <w:rPr>
          <w:vanish/>
        </w:rPr>
        <w:t>TITLED_COMMENT_LAYOUT_SECTION&gt;</w:t>
      </w:r>
    </w:p>
    <w:p w14:paraId="2E341BC5" w14:textId="77777777" w:rsidR="003F6CD3" w:rsidRPr="00CE48B3" w:rsidRDefault="003F6CD3">
      <w:pPr>
        <w:ind w:left="720" w:hanging="720"/>
        <w:rPr>
          <w:vanish/>
        </w:rPr>
      </w:pPr>
      <w:r>
        <w:rPr>
          <w:vanish/>
        </w:rPr>
        <w:t>&lt;COMMENT_LAYOUT_SECTION&gt;</w:t>
      </w:r>
    </w:p>
    <w:p w14:paraId="201A1AB4" w14:textId="77777777" w:rsidR="00976460" w:rsidRPr="00CE48B3" w:rsidRDefault="00976460" w:rsidP="00976460">
      <w:pPr>
        <w:ind w:left="720" w:hanging="720"/>
        <w:rPr>
          <w:vanish/>
        </w:rPr>
      </w:pPr>
      <w:r w:rsidRPr="00CE48B3">
        <w:rPr>
          <w:vanish/>
        </w:rPr>
        <w:fldChar w:fldCharType="begin"/>
      </w:r>
      <w:r w:rsidRPr="00CE48B3">
        <w:rPr>
          <w:vanish/>
        </w:rPr>
        <w:instrText xml:space="preserve"> QUOTE  "FIELD_SUMMARY"  \* MERGEFORMAT </w:instrText>
      </w:r>
      <w:r w:rsidRPr="00CE48B3">
        <w:rPr>
          <w:vanish/>
        </w:rPr>
        <w:fldChar w:fldCharType="separate"/>
      </w:r>
      <w:r w:rsidR="00CE48B3" w:rsidRPr="00CE48B3">
        <w:rPr>
          <w:vanish/>
        </w:rPr>
        <w:t>FIELD_SUMMARY</w:t>
      </w:r>
      <w:r w:rsidRPr="00CE48B3">
        <w:rPr>
          <w:vanish/>
        </w:rPr>
        <w:fldChar w:fldCharType="end"/>
      </w:r>
    </w:p>
    <w:p w14:paraId="247F1F78" w14:textId="77777777" w:rsidR="00976460" w:rsidRPr="00CE48B3" w:rsidRDefault="00976460">
      <w:pPr>
        <w:ind w:left="720" w:hanging="720"/>
        <w:rPr>
          <w:vanish/>
        </w:rPr>
      </w:pPr>
    </w:p>
    <w:p w14:paraId="3BE6FB49" w14:textId="77777777" w:rsidR="003F6CD3" w:rsidRDefault="001F7918" w:rsidP="000A18C9">
      <w:pPr>
        <w:rPr>
          <w:vanish/>
        </w:rPr>
      </w:pPr>
      <w:r>
        <w:rPr>
          <w:vanish/>
        </w:rPr>
        <w:t>&lt;/</w:t>
      </w:r>
      <w:r w:rsidR="003F6CD3">
        <w:rPr>
          <w:vanish/>
        </w:rPr>
        <w:t>COMMENT_LAYOUT_SECTION&gt;</w:t>
      </w:r>
    </w:p>
    <w:p w14:paraId="2742FE4E" w14:textId="77777777" w:rsidR="003F6CD3" w:rsidRPr="00CE48B3" w:rsidRDefault="003F6CD3">
      <w:pPr>
        <w:rPr>
          <w:vanish/>
        </w:rPr>
      </w:pPr>
      <w:r>
        <w:rPr>
          <w:vanish/>
        </w:rPr>
        <w:t>&lt;SUBNUMBER_LAYOUT_SECTION&gt;</w:t>
      </w:r>
    </w:p>
    <w:tbl>
      <w:tblPr>
        <w:tblW w:w="9003" w:type="dxa"/>
        <w:tblInd w:w="562" w:type="dxa"/>
        <w:tblLayout w:type="fixed"/>
        <w:tblCellMar>
          <w:top w:w="115" w:type="dxa"/>
          <w:left w:w="115" w:type="dxa"/>
          <w:right w:w="115" w:type="dxa"/>
        </w:tblCellMar>
        <w:tblLook w:val="0000" w:firstRow="0" w:lastRow="0" w:firstColumn="0" w:lastColumn="0" w:noHBand="0" w:noVBand="0"/>
      </w:tblPr>
      <w:tblGrid>
        <w:gridCol w:w="562"/>
        <w:gridCol w:w="8441"/>
      </w:tblGrid>
      <w:tr w:rsidR="000C6E5C" w:rsidRPr="00CE48B3" w14:paraId="614E8EE4" w14:textId="77777777" w:rsidTr="00E3404B">
        <w:trPr>
          <w:cantSplit/>
          <w:hidden/>
        </w:trPr>
        <w:tc>
          <w:tcPr>
            <w:tcW w:w="9003" w:type="dxa"/>
            <w:gridSpan w:val="2"/>
          </w:tcPr>
          <w:p w14:paraId="5022C78F" w14:textId="77777777" w:rsidR="000C6E5C" w:rsidRPr="00CE48B3" w:rsidRDefault="000C6E5C" w:rsidP="00685497">
            <w:pPr>
              <w:numPr>
                <w:ilvl w:val="1"/>
                <w:numId w:val="1"/>
              </w:numPr>
              <w:rPr>
                <w:vanish/>
                <w:u w:val="single"/>
              </w:rPr>
            </w:pPr>
            <w:r w:rsidRPr="00CE48B3">
              <w:rPr>
                <w:b/>
                <w:vanish/>
              </w:rPr>
              <w:fldChar w:fldCharType="begin"/>
            </w:r>
            <w:r w:rsidRPr="00CE48B3">
              <w:rPr>
                <w:b/>
                <w:vanish/>
              </w:rPr>
              <w:instrText xml:space="preserve"> QUOTE  “FIELD_TITLE”  \* MERGEFORMAT </w:instrText>
            </w:r>
            <w:r w:rsidRPr="00CE48B3">
              <w:rPr>
                <w:b/>
                <w:vanish/>
              </w:rPr>
              <w:fldChar w:fldCharType="separate"/>
            </w:r>
            <w:r w:rsidR="00CE48B3" w:rsidRPr="00CE48B3">
              <w:rPr>
                <w:b/>
                <w:vanish/>
              </w:rPr>
              <w:t>FIELD_TITLE</w:t>
            </w:r>
            <w:r w:rsidRPr="00CE48B3">
              <w:rPr>
                <w:b/>
                <w:vanish/>
              </w:rPr>
              <w:fldChar w:fldCharType="end"/>
            </w:r>
            <w:r w:rsidRPr="00CE48B3">
              <w:rPr>
                <w:vanish/>
                <w:u w:val="single"/>
              </w:rPr>
              <w:t xml:space="preserve"> </w:t>
            </w:r>
          </w:p>
        </w:tc>
      </w:tr>
      <w:tr w:rsidR="000C6E5C" w:rsidRPr="00CE48B3" w14:paraId="68619F00" w14:textId="77777777" w:rsidTr="00E3404B">
        <w:trPr>
          <w:hidden/>
        </w:trPr>
        <w:tc>
          <w:tcPr>
            <w:tcW w:w="562" w:type="dxa"/>
          </w:tcPr>
          <w:p w14:paraId="1DCCA7C8" w14:textId="77777777" w:rsidR="000C6E5C" w:rsidRPr="00CE48B3" w:rsidRDefault="000C6E5C" w:rsidP="00ED5603">
            <w:pPr>
              <w:rPr>
                <w:vanish/>
              </w:rPr>
            </w:pPr>
          </w:p>
        </w:tc>
        <w:tc>
          <w:tcPr>
            <w:tcW w:w="8441" w:type="dxa"/>
          </w:tcPr>
          <w:p w14:paraId="4F4D6D29" w14:textId="77777777" w:rsidR="000C6E5C" w:rsidRPr="00CE48B3" w:rsidRDefault="000C6E5C" w:rsidP="00ED5603">
            <w:pPr>
              <w:widowControl w:val="0"/>
              <w:rPr>
                <w:vanish/>
              </w:rPr>
            </w:pPr>
            <w:r w:rsidRPr="00CE48B3">
              <w:rPr>
                <w:vanish/>
              </w:rPr>
              <w:fldChar w:fldCharType="begin"/>
            </w:r>
            <w:r w:rsidRPr="00CE48B3">
              <w:rPr>
                <w:vanish/>
              </w:rPr>
              <w:instrText xml:space="preserve"> QUOTE "FIELD_SUMMARY" \* MERGEFORMAT </w:instrText>
            </w:r>
            <w:r w:rsidRPr="00CE48B3">
              <w:rPr>
                <w:vanish/>
              </w:rPr>
              <w:fldChar w:fldCharType="separate"/>
            </w:r>
            <w:r w:rsidR="00CE48B3" w:rsidRPr="00CE48B3">
              <w:rPr>
                <w:vanish/>
              </w:rPr>
              <w:t>FIELD_SUMMARY</w:t>
            </w:r>
            <w:r w:rsidRPr="00CE48B3">
              <w:rPr>
                <w:vanish/>
              </w:rPr>
              <w:fldChar w:fldCharType="end"/>
            </w:r>
            <w:r w:rsidRPr="00CE48B3">
              <w:rPr>
                <w:vanish/>
              </w:rPr>
              <w:t xml:space="preserve"> </w:t>
            </w:r>
          </w:p>
        </w:tc>
      </w:tr>
    </w:tbl>
    <w:p w14:paraId="041DAC6E" w14:textId="77777777" w:rsidR="003F6CD3" w:rsidRDefault="003F6CD3">
      <w:pPr>
        <w:rPr>
          <w:vanish/>
        </w:rPr>
      </w:pPr>
      <w:r>
        <w:rPr>
          <w:vanish/>
        </w:rPr>
        <w:t>&lt;/SUBNUMBER_LAYOUT_SECTION&gt;</w:t>
      </w:r>
    </w:p>
    <w:p w14:paraId="016C9AE2" w14:textId="77777777" w:rsidR="003F6CD3" w:rsidRPr="00CE48B3" w:rsidRDefault="003F6CD3">
      <w:pPr>
        <w:rPr>
          <w:vanish/>
        </w:rPr>
      </w:pPr>
      <w:r>
        <w:rPr>
          <w:vanish/>
        </w:rPr>
        <w:t>&lt;TITLE_ONLY_SUBNUMBER_LAYOUT_SECTION&gt;</w:t>
      </w:r>
    </w:p>
    <w:tbl>
      <w:tblPr>
        <w:tblW w:w="9003" w:type="dxa"/>
        <w:tblInd w:w="562" w:type="dxa"/>
        <w:tblLayout w:type="fixed"/>
        <w:tblCellMar>
          <w:top w:w="115" w:type="dxa"/>
          <w:left w:w="115" w:type="dxa"/>
          <w:right w:w="115" w:type="dxa"/>
        </w:tblCellMar>
        <w:tblLook w:val="0000" w:firstRow="0" w:lastRow="0" w:firstColumn="0" w:lastColumn="0" w:noHBand="0" w:noVBand="0"/>
      </w:tblPr>
      <w:tblGrid>
        <w:gridCol w:w="9003"/>
      </w:tblGrid>
      <w:tr w:rsidR="000C6E5C" w:rsidRPr="00CE48B3" w14:paraId="147F6DFB" w14:textId="77777777" w:rsidTr="00E3404B">
        <w:trPr>
          <w:cantSplit/>
          <w:hidden/>
        </w:trPr>
        <w:tc>
          <w:tcPr>
            <w:tcW w:w="9003" w:type="dxa"/>
          </w:tcPr>
          <w:p w14:paraId="3E7E75F1" w14:textId="77777777" w:rsidR="000C6E5C" w:rsidRPr="00CE48B3" w:rsidRDefault="000C6E5C" w:rsidP="00685497">
            <w:pPr>
              <w:numPr>
                <w:ilvl w:val="1"/>
                <w:numId w:val="1"/>
              </w:numPr>
              <w:rPr>
                <w:vanish/>
                <w:u w:val="single"/>
              </w:rPr>
            </w:pPr>
            <w:r w:rsidRPr="00CE48B3">
              <w:rPr>
                <w:b/>
                <w:vanish/>
              </w:rPr>
              <w:fldChar w:fldCharType="begin"/>
            </w:r>
            <w:r w:rsidRPr="00CE48B3">
              <w:rPr>
                <w:b/>
                <w:vanish/>
              </w:rPr>
              <w:instrText xml:space="preserve"> QUOTE  “FIELD_TITLE”  \* MERGEFORMAT </w:instrText>
            </w:r>
            <w:r w:rsidRPr="00CE48B3">
              <w:rPr>
                <w:b/>
                <w:vanish/>
              </w:rPr>
              <w:fldChar w:fldCharType="separate"/>
            </w:r>
            <w:r w:rsidR="00CE48B3" w:rsidRPr="00CE48B3">
              <w:rPr>
                <w:b/>
                <w:vanish/>
              </w:rPr>
              <w:t>FIELD_TITLE</w:t>
            </w:r>
            <w:r w:rsidRPr="00CE48B3">
              <w:rPr>
                <w:b/>
                <w:vanish/>
              </w:rPr>
              <w:fldChar w:fldCharType="end"/>
            </w:r>
            <w:r w:rsidRPr="00CE48B3">
              <w:rPr>
                <w:vanish/>
                <w:u w:val="single"/>
              </w:rPr>
              <w:t xml:space="preserve"> </w:t>
            </w:r>
          </w:p>
        </w:tc>
      </w:tr>
    </w:tbl>
    <w:p w14:paraId="77AAE370" w14:textId="77777777" w:rsidR="003F6CD3" w:rsidRDefault="003F6CD3">
      <w:pPr>
        <w:rPr>
          <w:vanish/>
        </w:rPr>
      </w:pPr>
      <w:r>
        <w:rPr>
          <w:vanish/>
        </w:rPr>
        <w:t>&lt;/TITLE_ONLY_SUBNUMBER_LAYOUT_SECTION&gt;</w:t>
      </w:r>
    </w:p>
    <w:sectPr w:rsidR="003F6CD3" w:rsidSect="007421BC">
      <w:headerReference w:type="first" r:id="rId17"/>
      <w:footerReference w:type="first" r:id="rId18"/>
      <w:pgSz w:w="11909" w:h="16838" w:code="9"/>
      <w:pgMar w:top="851" w:right="1224" w:bottom="142" w:left="1224" w:header="360" w:footer="706"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FACA" w14:textId="77777777" w:rsidR="009E5E09" w:rsidRDefault="009E5E09">
      <w:r>
        <w:separator/>
      </w:r>
    </w:p>
  </w:endnote>
  <w:endnote w:type="continuationSeparator" w:id="0">
    <w:p w14:paraId="0C06D9EB" w14:textId="77777777" w:rsidR="009E5E09" w:rsidRDefault="009E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T1D94B9o00">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522193"/>
      <w:docPartObj>
        <w:docPartGallery w:val="Page Numbers (Bottom of Page)"/>
        <w:docPartUnique/>
      </w:docPartObj>
    </w:sdtPr>
    <w:sdtEndPr>
      <w:rPr>
        <w:noProof/>
      </w:rPr>
    </w:sdtEndPr>
    <w:sdtContent>
      <w:p w14:paraId="76FB24D1" w14:textId="0AACD82A" w:rsidR="00A2143E" w:rsidRDefault="00A214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E3099" w14:textId="77777777" w:rsidR="00A2143E" w:rsidRDefault="00A21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68B4" w14:textId="2A3EBF7B" w:rsidR="00A2143E" w:rsidRDefault="00A2143E">
    <w:pPr>
      <w:pStyle w:val="Footer"/>
      <w:jc w:val="center"/>
    </w:pPr>
  </w:p>
  <w:p w14:paraId="33CB3268" w14:textId="77777777" w:rsidR="00A2143E" w:rsidRDefault="00A21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6426"/>
      <w:docPartObj>
        <w:docPartGallery w:val="Page Numbers (Bottom of Page)"/>
        <w:docPartUnique/>
      </w:docPartObj>
    </w:sdtPr>
    <w:sdtEndPr>
      <w:rPr>
        <w:noProof/>
      </w:rPr>
    </w:sdtEndPr>
    <w:sdtContent>
      <w:p w14:paraId="4E28902A" w14:textId="77777777" w:rsidR="00A2143E" w:rsidRDefault="00A214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2F7088" w14:textId="77777777" w:rsidR="00A2143E" w:rsidRDefault="00A214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7B85" w14:textId="0B553165" w:rsidR="00A2143E" w:rsidRDefault="00A2143E">
    <w:pPr>
      <w:pStyle w:val="Footer"/>
      <w:jc w:val="center"/>
    </w:pPr>
  </w:p>
  <w:p w14:paraId="478871FC" w14:textId="77777777" w:rsidR="00A2143E" w:rsidRDefault="00A21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CAEF" w14:textId="77777777" w:rsidR="009E5E09" w:rsidRDefault="009E5E09">
      <w:r>
        <w:separator/>
      </w:r>
    </w:p>
  </w:footnote>
  <w:footnote w:type="continuationSeparator" w:id="0">
    <w:p w14:paraId="59CE1EB1" w14:textId="77777777" w:rsidR="009E5E09" w:rsidRDefault="009E5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C3CF" w14:textId="3D6820F1" w:rsidR="00A2143E" w:rsidRDefault="00A2143E" w:rsidP="004F26A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4EC5" w14:textId="2E4C4704" w:rsidR="00A2143E" w:rsidRDefault="00A2143E" w:rsidP="0029414B">
    <w:pPr>
      <w:pStyle w:val="Header"/>
      <w:jc w:val="center"/>
    </w:pPr>
  </w:p>
  <w:p w14:paraId="73B76F9C" w14:textId="705A6151" w:rsidR="00A2143E" w:rsidRDefault="00A2143E" w:rsidP="006E51A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678C" w14:textId="7E416011" w:rsidR="00A2143E" w:rsidRDefault="00A2143E" w:rsidP="009A3157">
    <w:pPr>
      <w:pStyle w:val="Header"/>
      <w:jc w:val="right"/>
    </w:pPr>
  </w:p>
  <w:p w14:paraId="545D2001" w14:textId="1808D69E" w:rsidR="00A2143E" w:rsidRDefault="00A2143E" w:rsidP="006E51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97E"/>
    <w:multiLevelType w:val="hybridMultilevel"/>
    <w:tmpl w:val="0E2E3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51D3F"/>
    <w:multiLevelType w:val="multilevel"/>
    <w:tmpl w:val="C548EDC4"/>
    <w:lvl w:ilvl="0">
      <w:start w:val="1"/>
      <w:numFmt w:val="decimal"/>
      <w:lvlText w:val="%1"/>
      <w:lvlJc w:val="left"/>
      <w:pPr>
        <w:tabs>
          <w:tab w:val="num" w:pos="562"/>
        </w:tabs>
        <w:ind w:left="0" w:firstLine="0"/>
      </w:pPr>
      <w:rPr>
        <w:rFonts w:ascii="Arial Bold" w:hAnsi="Arial Bold" w:cs="Verdana" w:hint="default"/>
        <w:b/>
        <w:bCs w:val="0"/>
        <w:i w:val="0"/>
        <w:iCs w:val="0"/>
        <w:sz w:val="24"/>
        <w:szCs w:val="24"/>
      </w:rPr>
    </w:lvl>
    <w:lvl w:ilvl="1">
      <w:start w:val="1"/>
      <w:numFmt w:val="decimal"/>
      <w:lvlText w:val="%1 .%2"/>
      <w:lvlJc w:val="left"/>
      <w:pPr>
        <w:tabs>
          <w:tab w:val="num" w:pos="720"/>
        </w:tabs>
        <w:ind w:left="720" w:hanging="720"/>
      </w:pPr>
      <w:rPr>
        <w:rFonts w:ascii="Arial" w:hAnsi="Arial" w:cs="Arial" w:hint="default"/>
        <w:b/>
        <w:bCs/>
        <w:i w:val="0"/>
        <w:iCs w:val="0"/>
        <w:sz w:val="24"/>
        <w:szCs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539"/>
        </w:tabs>
        <w:ind w:left="539" w:hanging="53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24"/>
        </w:tabs>
        <w:ind w:left="624" w:hanging="62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BB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C3001E"/>
    <w:multiLevelType w:val="hybridMultilevel"/>
    <w:tmpl w:val="1EA8739A"/>
    <w:lvl w:ilvl="0" w:tplc="8F46D4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43069"/>
    <w:multiLevelType w:val="hybridMultilevel"/>
    <w:tmpl w:val="528C3D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673B8"/>
    <w:multiLevelType w:val="multilevel"/>
    <w:tmpl w:val="8E001A02"/>
    <w:lvl w:ilvl="0">
      <w:start w:val="1"/>
      <w:numFmt w:val="decimal"/>
      <w:lvlText w:val="%1"/>
      <w:lvlJc w:val="left"/>
      <w:pPr>
        <w:tabs>
          <w:tab w:val="num" w:pos="0"/>
        </w:tabs>
      </w:pPr>
      <w:rPr>
        <w:rFonts w:ascii="Arial" w:hAnsi="Arial" w:cs="Arial" w:hint="default"/>
        <w:b w:val="0"/>
        <w:bCs w:val="0"/>
        <w:i w:val="0"/>
        <w:iCs w:val="0"/>
        <w:sz w:val="20"/>
        <w:szCs w:val="20"/>
      </w:rPr>
    </w:lvl>
    <w:lvl w:ilvl="1">
      <w:start w:val="1"/>
      <w:numFmt w:val="lowerLetter"/>
      <w:lvlText w:val="%2)"/>
      <w:lvlJc w:val="left"/>
      <w:pPr>
        <w:tabs>
          <w:tab w:val="num" w:pos="562"/>
        </w:tabs>
        <w:ind w:left="562" w:hanging="562"/>
      </w:pPr>
      <w:rPr>
        <w:rFonts w:ascii="Arial Bold" w:hAnsi="Arial Bold" w:cs="Arial" w:hint="default"/>
        <w:b/>
        <w:bCs w:val="0"/>
        <w:i w:val="0"/>
        <w:iCs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3F47EA9"/>
    <w:multiLevelType w:val="hybridMultilevel"/>
    <w:tmpl w:val="FFFFFFFF"/>
    <w:lvl w:ilvl="0" w:tplc="CC929C28">
      <w:start w:val="1"/>
      <w:numFmt w:val="bullet"/>
      <w:lvlText w:val=""/>
      <w:lvlJc w:val="left"/>
      <w:pPr>
        <w:ind w:left="720" w:hanging="360"/>
      </w:pPr>
      <w:rPr>
        <w:rFonts w:ascii="Symbol" w:hAnsi="Symbol" w:hint="default"/>
      </w:rPr>
    </w:lvl>
    <w:lvl w:ilvl="1" w:tplc="55BC8866">
      <w:start w:val="1"/>
      <w:numFmt w:val="bullet"/>
      <w:lvlText w:val="o"/>
      <w:lvlJc w:val="left"/>
      <w:pPr>
        <w:ind w:left="1440" w:hanging="360"/>
      </w:pPr>
      <w:rPr>
        <w:rFonts w:ascii="Courier New" w:hAnsi="Courier New" w:hint="default"/>
      </w:rPr>
    </w:lvl>
    <w:lvl w:ilvl="2" w:tplc="599AC90E">
      <w:start w:val="1"/>
      <w:numFmt w:val="bullet"/>
      <w:lvlText w:val=""/>
      <w:lvlJc w:val="left"/>
      <w:pPr>
        <w:ind w:left="2160" w:hanging="360"/>
      </w:pPr>
      <w:rPr>
        <w:rFonts w:ascii="Wingdings" w:hAnsi="Wingdings" w:hint="default"/>
      </w:rPr>
    </w:lvl>
    <w:lvl w:ilvl="3" w:tplc="D5A23FB2">
      <w:start w:val="1"/>
      <w:numFmt w:val="bullet"/>
      <w:lvlText w:val=""/>
      <w:lvlJc w:val="left"/>
      <w:pPr>
        <w:ind w:left="2880" w:hanging="360"/>
      </w:pPr>
      <w:rPr>
        <w:rFonts w:ascii="Symbol" w:hAnsi="Symbol" w:hint="default"/>
      </w:rPr>
    </w:lvl>
    <w:lvl w:ilvl="4" w:tplc="DAAED888">
      <w:start w:val="1"/>
      <w:numFmt w:val="bullet"/>
      <w:lvlText w:val="o"/>
      <w:lvlJc w:val="left"/>
      <w:pPr>
        <w:ind w:left="3600" w:hanging="360"/>
      </w:pPr>
      <w:rPr>
        <w:rFonts w:ascii="Courier New" w:hAnsi="Courier New" w:hint="default"/>
      </w:rPr>
    </w:lvl>
    <w:lvl w:ilvl="5" w:tplc="849A6692">
      <w:start w:val="1"/>
      <w:numFmt w:val="bullet"/>
      <w:lvlText w:val=""/>
      <w:lvlJc w:val="left"/>
      <w:pPr>
        <w:ind w:left="4320" w:hanging="360"/>
      </w:pPr>
      <w:rPr>
        <w:rFonts w:ascii="Wingdings" w:hAnsi="Wingdings" w:hint="default"/>
      </w:rPr>
    </w:lvl>
    <w:lvl w:ilvl="6" w:tplc="4A40D8CC">
      <w:start w:val="1"/>
      <w:numFmt w:val="bullet"/>
      <w:lvlText w:val=""/>
      <w:lvlJc w:val="left"/>
      <w:pPr>
        <w:ind w:left="5040" w:hanging="360"/>
      </w:pPr>
      <w:rPr>
        <w:rFonts w:ascii="Symbol" w:hAnsi="Symbol" w:hint="default"/>
      </w:rPr>
    </w:lvl>
    <w:lvl w:ilvl="7" w:tplc="A6104366">
      <w:start w:val="1"/>
      <w:numFmt w:val="bullet"/>
      <w:lvlText w:val="o"/>
      <w:lvlJc w:val="left"/>
      <w:pPr>
        <w:ind w:left="5760" w:hanging="360"/>
      </w:pPr>
      <w:rPr>
        <w:rFonts w:ascii="Courier New" w:hAnsi="Courier New" w:hint="default"/>
      </w:rPr>
    </w:lvl>
    <w:lvl w:ilvl="8" w:tplc="09DA6B4E">
      <w:start w:val="1"/>
      <w:numFmt w:val="bullet"/>
      <w:lvlText w:val=""/>
      <w:lvlJc w:val="left"/>
      <w:pPr>
        <w:ind w:left="6480" w:hanging="360"/>
      </w:pPr>
      <w:rPr>
        <w:rFonts w:ascii="Wingdings" w:hAnsi="Wingdings" w:hint="default"/>
      </w:rPr>
    </w:lvl>
  </w:abstractNum>
  <w:abstractNum w:abstractNumId="7" w15:restartNumberingAfterBreak="0">
    <w:nsid w:val="27D12CC2"/>
    <w:multiLevelType w:val="hybridMultilevel"/>
    <w:tmpl w:val="E1843FE4"/>
    <w:lvl w:ilvl="0" w:tplc="08090003">
      <w:start w:val="1"/>
      <w:numFmt w:val="bullet"/>
      <w:lvlText w:val="o"/>
      <w:lvlJc w:val="left"/>
      <w:pPr>
        <w:ind w:left="1854" w:hanging="360"/>
      </w:pPr>
      <w:rPr>
        <w:rFonts w:ascii="Courier New" w:hAnsi="Courier New" w:cs="Courier New" w:hint="default"/>
      </w:rPr>
    </w:lvl>
    <w:lvl w:ilvl="1" w:tplc="5FA82A7C">
      <w:numFmt w:val="bullet"/>
      <w:lvlText w:val=""/>
      <w:lvlJc w:val="left"/>
      <w:pPr>
        <w:ind w:left="2574" w:hanging="360"/>
      </w:pPr>
      <w:rPr>
        <w:rFonts w:ascii="Symbol" w:eastAsia="Times New Roman" w:hAnsi="Symbol" w:cs="Verdana"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DE977DF"/>
    <w:multiLevelType w:val="hybridMultilevel"/>
    <w:tmpl w:val="FFFFFFFF"/>
    <w:lvl w:ilvl="0" w:tplc="0D8CEEB0">
      <w:start w:val="1"/>
      <w:numFmt w:val="bullet"/>
      <w:lvlText w:val=""/>
      <w:lvlJc w:val="left"/>
      <w:pPr>
        <w:ind w:left="720" w:hanging="360"/>
      </w:pPr>
      <w:rPr>
        <w:rFonts w:ascii="Symbol" w:hAnsi="Symbol" w:hint="default"/>
      </w:rPr>
    </w:lvl>
    <w:lvl w:ilvl="1" w:tplc="63D424D0">
      <w:start w:val="1"/>
      <w:numFmt w:val="bullet"/>
      <w:lvlText w:val=""/>
      <w:lvlJc w:val="left"/>
      <w:pPr>
        <w:ind w:left="1440" w:hanging="360"/>
      </w:pPr>
      <w:rPr>
        <w:rFonts w:ascii="Symbol" w:hAnsi="Symbol" w:hint="default"/>
      </w:rPr>
    </w:lvl>
    <w:lvl w:ilvl="2" w:tplc="8F98408E">
      <w:start w:val="1"/>
      <w:numFmt w:val="bullet"/>
      <w:lvlText w:val=""/>
      <w:lvlJc w:val="left"/>
      <w:pPr>
        <w:ind w:left="2160" w:hanging="360"/>
      </w:pPr>
      <w:rPr>
        <w:rFonts w:ascii="Wingdings" w:hAnsi="Wingdings" w:hint="default"/>
      </w:rPr>
    </w:lvl>
    <w:lvl w:ilvl="3" w:tplc="FF3A1D34">
      <w:start w:val="1"/>
      <w:numFmt w:val="bullet"/>
      <w:lvlText w:val=""/>
      <w:lvlJc w:val="left"/>
      <w:pPr>
        <w:ind w:left="2880" w:hanging="360"/>
      </w:pPr>
      <w:rPr>
        <w:rFonts w:ascii="Symbol" w:hAnsi="Symbol" w:hint="default"/>
      </w:rPr>
    </w:lvl>
    <w:lvl w:ilvl="4" w:tplc="A16E96EE">
      <w:start w:val="1"/>
      <w:numFmt w:val="bullet"/>
      <w:lvlText w:val="o"/>
      <w:lvlJc w:val="left"/>
      <w:pPr>
        <w:ind w:left="3600" w:hanging="360"/>
      </w:pPr>
      <w:rPr>
        <w:rFonts w:ascii="Courier New" w:hAnsi="Courier New" w:hint="default"/>
      </w:rPr>
    </w:lvl>
    <w:lvl w:ilvl="5" w:tplc="C18C9342">
      <w:start w:val="1"/>
      <w:numFmt w:val="bullet"/>
      <w:lvlText w:val=""/>
      <w:lvlJc w:val="left"/>
      <w:pPr>
        <w:ind w:left="4320" w:hanging="360"/>
      </w:pPr>
      <w:rPr>
        <w:rFonts w:ascii="Wingdings" w:hAnsi="Wingdings" w:hint="default"/>
      </w:rPr>
    </w:lvl>
    <w:lvl w:ilvl="6" w:tplc="EFCAE1AE">
      <w:start w:val="1"/>
      <w:numFmt w:val="bullet"/>
      <w:lvlText w:val=""/>
      <w:lvlJc w:val="left"/>
      <w:pPr>
        <w:ind w:left="5040" w:hanging="360"/>
      </w:pPr>
      <w:rPr>
        <w:rFonts w:ascii="Symbol" w:hAnsi="Symbol" w:hint="default"/>
      </w:rPr>
    </w:lvl>
    <w:lvl w:ilvl="7" w:tplc="8A6850C6">
      <w:start w:val="1"/>
      <w:numFmt w:val="bullet"/>
      <w:lvlText w:val="o"/>
      <w:lvlJc w:val="left"/>
      <w:pPr>
        <w:ind w:left="5760" w:hanging="360"/>
      </w:pPr>
      <w:rPr>
        <w:rFonts w:ascii="Courier New" w:hAnsi="Courier New" w:hint="default"/>
      </w:rPr>
    </w:lvl>
    <w:lvl w:ilvl="8" w:tplc="52AADCD6">
      <w:start w:val="1"/>
      <w:numFmt w:val="bullet"/>
      <w:lvlText w:val=""/>
      <w:lvlJc w:val="left"/>
      <w:pPr>
        <w:ind w:left="6480" w:hanging="360"/>
      </w:pPr>
      <w:rPr>
        <w:rFonts w:ascii="Wingdings" w:hAnsi="Wingdings" w:hint="default"/>
      </w:rPr>
    </w:lvl>
  </w:abstractNum>
  <w:abstractNum w:abstractNumId="9" w15:restartNumberingAfterBreak="0">
    <w:nsid w:val="32EF2D2E"/>
    <w:multiLevelType w:val="hybridMultilevel"/>
    <w:tmpl w:val="F856B8F8"/>
    <w:lvl w:ilvl="0" w:tplc="2BFA7196">
      <w:start w:val="470"/>
      <w:numFmt w:val="bullet"/>
      <w:lvlText w:val=""/>
      <w:lvlJc w:val="left"/>
      <w:pPr>
        <w:ind w:left="1494" w:hanging="360"/>
      </w:pPr>
      <w:rPr>
        <w:rFonts w:ascii="Symbol" w:eastAsia="Times New Roman" w:hAnsi="Symbol" w:cs="Verdana"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3B904511"/>
    <w:multiLevelType w:val="hybridMultilevel"/>
    <w:tmpl w:val="FFFFFFFF"/>
    <w:lvl w:ilvl="0" w:tplc="D224455A">
      <w:start w:val="1"/>
      <w:numFmt w:val="bullet"/>
      <w:lvlText w:val=""/>
      <w:lvlJc w:val="left"/>
      <w:pPr>
        <w:ind w:left="720" w:hanging="360"/>
      </w:pPr>
      <w:rPr>
        <w:rFonts w:ascii="Symbol" w:hAnsi="Symbol" w:hint="default"/>
      </w:rPr>
    </w:lvl>
    <w:lvl w:ilvl="1" w:tplc="2214A1BE">
      <w:start w:val="1"/>
      <w:numFmt w:val="bullet"/>
      <w:lvlText w:val="o"/>
      <w:lvlJc w:val="left"/>
      <w:pPr>
        <w:ind w:left="1440" w:hanging="360"/>
      </w:pPr>
      <w:rPr>
        <w:rFonts w:ascii="Courier New" w:hAnsi="Courier New" w:hint="default"/>
      </w:rPr>
    </w:lvl>
    <w:lvl w:ilvl="2" w:tplc="8D0226A6">
      <w:start w:val="1"/>
      <w:numFmt w:val="bullet"/>
      <w:lvlText w:val=""/>
      <w:lvlJc w:val="left"/>
      <w:pPr>
        <w:ind w:left="2160" w:hanging="360"/>
      </w:pPr>
      <w:rPr>
        <w:rFonts w:ascii="Wingdings" w:hAnsi="Wingdings" w:hint="default"/>
      </w:rPr>
    </w:lvl>
    <w:lvl w:ilvl="3" w:tplc="F8E06ECE">
      <w:start w:val="1"/>
      <w:numFmt w:val="bullet"/>
      <w:lvlText w:val=""/>
      <w:lvlJc w:val="left"/>
      <w:pPr>
        <w:ind w:left="2880" w:hanging="360"/>
      </w:pPr>
      <w:rPr>
        <w:rFonts w:ascii="Symbol" w:hAnsi="Symbol" w:hint="default"/>
      </w:rPr>
    </w:lvl>
    <w:lvl w:ilvl="4" w:tplc="639CB4C4">
      <w:start w:val="1"/>
      <w:numFmt w:val="bullet"/>
      <w:lvlText w:val="o"/>
      <w:lvlJc w:val="left"/>
      <w:pPr>
        <w:ind w:left="3600" w:hanging="360"/>
      </w:pPr>
      <w:rPr>
        <w:rFonts w:ascii="Courier New" w:hAnsi="Courier New" w:hint="default"/>
      </w:rPr>
    </w:lvl>
    <w:lvl w:ilvl="5" w:tplc="54804802">
      <w:start w:val="1"/>
      <w:numFmt w:val="bullet"/>
      <w:lvlText w:val=""/>
      <w:lvlJc w:val="left"/>
      <w:pPr>
        <w:ind w:left="4320" w:hanging="360"/>
      </w:pPr>
      <w:rPr>
        <w:rFonts w:ascii="Wingdings" w:hAnsi="Wingdings" w:hint="default"/>
      </w:rPr>
    </w:lvl>
    <w:lvl w:ilvl="6" w:tplc="04D6EA80">
      <w:start w:val="1"/>
      <w:numFmt w:val="bullet"/>
      <w:lvlText w:val=""/>
      <w:lvlJc w:val="left"/>
      <w:pPr>
        <w:ind w:left="5040" w:hanging="360"/>
      </w:pPr>
      <w:rPr>
        <w:rFonts w:ascii="Symbol" w:hAnsi="Symbol" w:hint="default"/>
      </w:rPr>
    </w:lvl>
    <w:lvl w:ilvl="7" w:tplc="CFCA0CA8">
      <w:start w:val="1"/>
      <w:numFmt w:val="bullet"/>
      <w:lvlText w:val="o"/>
      <w:lvlJc w:val="left"/>
      <w:pPr>
        <w:ind w:left="5760" w:hanging="360"/>
      </w:pPr>
      <w:rPr>
        <w:rFonts w:ascii="Courier New" w:hAnsi="Courier New" w:hint="default"/>
      </w:rPr>
    </w:lvl>
    <w:lvl w:ilvl="8" w:tplc="E80A7442">
      <w:start w:val="1"/>
      <w:numFmt w:val="bullet"/>
      <w:lvlText w:val=""/>
      <w:lvlJc w:val="left"/>
      <w:pPr>
        <w:ind w:left="6480" w:hanging="360"/>
      </w:pPr>
      <w:rPr>
        <w:rFonts w:ascii="Wingdings" w:hAnsi="Wingdings" w:hint="default"/>
      </w:rPr>
    </w:lvl>
  </w:abstractNum>
  <w:abstractNum w:abstractNumId="11" w15:restartNumberingAfterBreak="0">
    <w:nsid w:val="3CB53954"/>
    <w:multiLevelType w:val="hybridMultilevel"/>
    <w:tmpl w:val="0DCC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2474F"/>
    <w:multiLevelType w:val="hybridMultilevel"/>
    <w:tmpl w:val="BCE673A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D13D5A"/>
    <w:multiLevelType w:val="hybridMultilevel"/>
    <w:tmpl w:val="FFFFFFFF"/>
    <w:lvl w:ilvl="0" w:tplc="EBD4E752">
      <w:start w:val="1"/>
      <w:numFmt w:val="bullet"/>
      <w:lvlText w:val="·"/>
      <w:lvlJc w:val="left"/>
      <w:pPr>
        <w:ind w:left="720" w:hanging="360"/>
      </w:pPr>
      <w:rPr>
        <w:rFonts w:ascii="Symbol" w:hAnsi="Symbol" w:hint="default"/>
      </w:rPr>
    </w:lvl>
    <w:lvl w:ilvl="1" w:tplc="F422832A">
      <w:start w:val="1"/>
      <w:numFmt w:val="bullet"/>
      <w:lvlText w:val="o"/>
      <w:lvlJc w:val="left"/>
      <w:pPr>
        <w:ind w:left="1440" w:hanging="360"/>
      </w:pPr>
      <w:rPr>
        <w:rFonts w:ascii="Courier New" w:hAnsi="Courier New" w:hint="default"/>
      </w:rPr>
    </w:lvl>
    <w:lvl w:ilvl="2" w:tplc="7BF016BC">
      <w:start w:val="1"/>
      <w:numFmt w:val="bullet"/>
      <w:lvlText w:val=""/>
      <w:lvlJc w:val="left"/>
      <w:pPr>
        <w:ind w:left="2160" w:hanging="360"/>
      </w:pPr>
      <w:rPr>
        <w:rFonts w:ascii="Wingdings" w:hAnsi="Wingdings" w:hint="default"/>
      </w:rPr>
    </w:lvl>
    <w:lvl w:ilvl="3" w:tplc="747AF7F8">
      <w:start w:val="1"/>
      <w:numFmt w:val="bullet"/>
      <w:lvlText w:val=""/>
      <w:lvlJc w:val="left"/>
      <w:pPr>
        <w:ind w:left="2880" w:hanging="360"/>
      </w:pPr>
      <w:rPr>
        <w:rFonts w:ascii="Symbol" w:hAnsi="Symbol" w:hint="default"/>
      </w:rPr>
    </w:lvl>
    <w:lvl w:ilvl="4" w:tplc="71EA9840">
      <w:start w:val="1"/>
      <w:numFmt w:val="bullet"/>
      <w:lvlText w:val="o"/>
      <w:lvlJc w:val="left"/>
      <w:pPr>
        <w:ind w:left="3600" w:hanging="360"/>
      </w:pPr>
      <w:rPr>
        <w:rFonts w:ascii="Courier New" w:hAnsi="Courier New" w:hint="default"/>
      </w:rPr>
    </w:lvl>
    <w:lvl w:ilvl="5" w:tplc="7AE4198A">
      <w:start w:val="1"/>
      <w:numFmt w:val="bullet"/>
      <w:lvlText w:val=""/>
      <w:lvlJc w:val="left"/>
      <w:pPr>
        <w:ind w:left="4320" w:hanging="360"/>
      </w:pPr>
      <w:rPr>
        <w:rFonts w:ascii="Wingdings" w:hAnsi="Wingdings" w:hint="default"/>
      </w:rPr>
    </w:lvl>
    <w:lvl w:ilvl="6" w:tplc="38E8AF0C">
      <w:start w:val="1"/>
      <w:numFmt w:val="bullet"/>
      <w:lvlText w:val=""/>
      <w:lvlJc w:val="left"/>
      <w:pPr>
        <w:ind w:left="5040" w:hanging="360"/>
      </w:pPr>
      <w:rPr>
        <w:rFonts w:ascii="Symbol" w:hAnsi="Symbol" w:hint="default"/>
      </w:rPr>
    </w:lvl>
    <w:lvl w:ilvl="7" w:tplc="0BB6C1F8">
      <w:start w:val="1"/>
      <w:numFmt w:val="bullet"/>
      <w:lvlText w:val="o"/>
      <w:lvlJc w:val="left"/>
      <w:pPr>
        <w:ind w:left="5760" w:hanging="360"/>
      </w:pPr>
      <w:rPr>
        <w:rFonts w:ascii="Courier New" w:hAnsi="Courier New" w:hint="default"/>
      </w:rPr>
    </w:lvl>
    <w:lvl w:ilvl="8" w:tplc="C876DDFC">
      <w:start w:val="1"/>
      <w:numFmt w:val="bullet"/>
      <w:lvlText w:val=""/>
      <w:lvlJc w:val="left"/>
      <w:pPr>
        <w:ind w:left="6480" w:hanging="360"/>
      </w:pPr>
      <w:rPr>
        <w:rFonts w:ascii="Wingdings" w:hAnsi="Wingdings" w:hint="default"/>
      </w:rPr>
    </w:lvl>
  </w:abstractNum>
  <w:abstractNum w:abstractNumId="14" w15:restartNumberingAfterBreak="0">
    <w:nsid w:val="4CB73B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BE05A3"/>
    <w:multiLevelType w:val="hybridMultilevel"/>
    <w:tmpl w:val="DFD81A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89101AB"/>
    <w:multiLevelType w:val="hybridMultilevel"/>
    <w:tmpl w:val="FFFFFFFF"/>
    <w:lvl w:ilvl="0" w:tplc="36F0FD84">
      <w:start w:val="1"/>
      <w:numFmt w:val="bullet"/>
      <w:lvlText w:val=""/>
      <w:lvlJc w:val="left"/>
      <w:pPr>
        <w:ind w:left="720" w:hanging="360"/>
      </w:pPr>
      <w:rPr>
        <w:rFonts w:ascii="Symbol" w:hAnsi="Symbol" w:hint="default"/>
      </w:rPr>
    </w:lvl>
    <w:lvl w:ilvl="1" w:tplc="3CD06ED8">
      <w:start w:val="1"/>
      <w:numFmt w:val="bullet"/>
      <w:lvlText w:val="o"/>
      <w:lvlJc w:val="left"/>
      <w:pPr>
        <w:ind w:left="1440" w:hanging="360"/>
      </w:pPr>
      <w:rPr>
        <w:rFonts w:ascii="Courier New" w:hAnsi="Courier New" w:hint="default"/>
      </w:rPr>
    </w:lvl>
    <w:lvl w:ilvl="2" w:tplc="BC266EDE">
      <w:start w:val="1"/>
      <w:numFmt w:val="bullet"/>
      <w:lvlText w:val=""/>
      <w:lvlJc w:val="left"/>
      <w:pPr>
        <w:ind w:left="2160" w:hanging="360"/>
      </w:pPr>
      <w:rPr>
        <w:rFonts w:ascii="Wingdings" w:hAnsi="Wingdings" w:hint="default"/>
      </w:rPr>
    </w:lvl>
    <w:lvl w:ilvl="3" w:tplc="BD18B5DC">
      <w:start w:val="1"/>
      <w:numFmt w:val="bullet"/>
      <w:lvlText w:val=""/>
      <w:lvlJc w:val="left"/>
      <w:pPr>
        <w:ind w:left="2880" w:hanging="360"/>
      </w:pPr>
      <w:rPr>
        <w:rFonts w:ascii="Symbol" w:hAnsi="Symbol" w:hint="default"/>
      </w:rPr>
    </w:lvl>
    <w:lvl w:ilvl="4" w:tplc="5BA6620C">
      <w:start w:val="1"/>
      <w:numFmt w:val="bullet"/>
      <w:lvlText w:val="o"/>
      <w:lvlJc w:val="left"/>
      <w:pPr>
        <w:ind w:left="3600" w:hanging="360"/>
      </w:pPr>
      <w:rPr>
        <w:rFonts w:ascii="Courier New" w:hAnsi="Courier New" w:hint="default"/>
      </w:rPr>
    </w:lvl>
    <w:lvl w:ilvl="5" w:tplc="B9FA4398">
      <w:start w:val="1"/>
      <w:numFmt w:val="bullet"/>
      <w:lvlText w:val=""/>
      <w:lvlJc w:val="left"/>
      <w:pPr>
        <w:ind w:left="4320" w:hanging="360"/>
      </w:pPr>
      <w:rPr>
        <w:rFonts w:ascii="Wingdings" w:hAnsi="Wingdings" w:hint="default"/>
      </w:rPr>
    </w:lvl>
    <w:lvl w:ilvl="6" w:tplc="8C589ED2">
      <w:start w:val="1"/>
      <w:numFmt w:val="bullet"/>
      <w:lvlText w:val=""/>
      <w:lvlJc w:val="left"/>
      <w:pPr>
        <w:ind w:left="5040" w:hanging="360"/>
      </w:pPr>
      <w:rPr>
        <w:rFonts w:ascii="Symbol" w:hAnsi="Symbol" w:hint="default"/>
      </w:rPr>
    </w:lvl>
    <w:lvl w:ilvl="7" w:tplc="77440B12">
      <w:start w:val="1"/>
      <w:numFmt w:val="bullet"/>
      <w:lvlText w:val="o"/>
      <w:lvlJc w:val="left"/>
      <w:pPr>
        <w:ind w:left="5760" w:hanging="360"/>
      </w:pPr>
      <w:rPr>
        <w:rFonts w:ascii="Courier New" w:hAnsi="Courier New" w:hint="default"/>
      </w:rPr>
    </w:lvl>
    <w:lvl w:ilvl="8" w:tplc="1B48DA04">
      <w:start w:val="1"/>
      <w:numFmt w:val="bullet"/>
      <w:lvlText w:val=""/>
      <w:lvlJc w:val="left"/>
      <w:pPr>
        <w:ind w:left="6480" w:hanging="360"/>
      </w:pPr>
      <w:rPr>
        <w:rFonts w:ascii="Wingdings" w:hAnsi="Wingdings" w:hint="default"/>
      </w:rPr>
    </w:lvl>
  </w:abstractNum>
  <w:abstractNum w:abstractNumId="17" w15:restartNumberingAfterBreak="0">
    <w:nsid w:val="626F79CC"/>
    <w:multiLevelType w:val="hybridMultilevel"/>
    <w:tmpl w:val="FFFFFFFF"/>
    <w:lvl w:ilvl="0" w:tplc="9940D400">
      <w:start w:val="1"/>
      <w:numFmt w:val="bullet"/>
      <w:lvlText w:val=""/>
      <w:lvlJc w:val="left"/>
      <w:pPr>
        <w:ind w:left="720" w:hanging="360"/>
      </w:pPr>
      <w:rPr>
        <w:rFonts w:ascii="Symbol" w:hAnsi="Symbol" w:hint="default"/>
      </w:rPr>
    </w:lvl>
    <w:lvl w:ilvl="1" w:tplc="B79E96EA">
      <w:start w:val="1"/>
      <w:numFmt w:val="bullet"/>
      <w:lvlText w:val="o"/>
      <w:lvlJc w:val="left"/>
      <w:pPr>
        <w:ind w:left="1440" w:hanging="360"/>
      </w:pPr>
      <w:rPr>
        <w:rFonts w:ascii="Courier New" w:hAnsi="Courier New" w:hint="default"/>
      </w:rPr>
    </w:lvl>
    <w:lvl w:ilvl="2" w:tplc="1BA4E5B4">
      <w:start w:val="1"/>
      <w:numFmt w:val="bullet"/>
      <w:lvlText w:val=""/>
      <w:lvlJc w:val="left"/>
      <w:pPr>
        <w:ind w:left="2160" w:hanging="360"/>
      </w:pPr>
      <w:rPr>
        <w:rFonts w:ascii="Wingdings" w:hAnsi="Wingdings" w:hint="default"/>
      </w:rPr>
    </w:lvl>
    <w:lvl w:ilvl="3" w:tplc="B740C10C">
      <w:start w:val="1"/>
      <w:numFmt w:val="bullet"/>
      <w:lvlText w:val=""/>
      <w:lvlJc w:val="left"/>
      <w:pPr>
        <w:ind w:left="2880" w:hanging="360"/>
      </w:pPr>
      <w:rPr>
        <w:rFonts w:ascii="Symbol" w:hAnsi="Symbol" w:hint="default"/>
      </w:rPr>
    </w:lvl>
    <w:lvl w:ilvl="4" w:tplc="604E2686">
      <w:start w:val="1"/>
      <w:numFmt w:val="bullet"/>
      <w:lvlText w:val="o"/>
      <w:lvlJc w:val="left"/>
      <w:pPr>
        <w:ind w:left="3600" w:hanging="360"/>
      </w:pPr>
      <w:rPr>
        <w:rFonts w:ascii="Courier New" w:hAnsi="Courier New" w:hint="default"/>
      </w:rPr>
    </w:lvl>
    <w:lvl w:ilvl="5" w:tplc="30F6C106">
      <w:start w:val="1"/>
      <w:numFmt w:val="bullet"/>
      <w:lvlText w:val=""/>
      <w:lvlJc w:val="left"/>
      <w:pPr>
        <w:ind w:left="4320" w:hanging="360"/>
      </w:pPr>
      <w:rPr>
        <w:rFonts w:ascii="Wingdings" w:hAnsi="Wingdings" w:hint="default"/>
      </w:rPr>
    </w:lvl>
    <w:lvl w:ilvl="6" w:tplc="B7ACCFFE">
      <w:start w:val="1"/>
      <w:numFmt w:val="bullet"/>
      <w:lvlText w:val=""/>
      <w:lvlJc w:val="left"/>
      <w:pPr>
        <w:ind w:left="5040" w:hanging="360"/>
      </w:pPr>
      <w:rPr>
        <w:rFonts w:ascii="Symbol" w:hAnsi="Symbol" w:hint="default"/>
      </w:rPr>
    </w:lvl>
    <w:lvl w:ilvl="7" w:tplc="F3DE4790">
      <w:start w:val="1"/>
      <w:numFmt w:val="bullet"/>
      <w:lvlText w:val="o"/>
      <w:lvlJc w:val="left"/>
      <w:pPr>
        <w:ind w:left="5760" w:hanging="360"/>
      </w:pPr>
      <w:rPr>
        <w:rFonts w:ascii="Courier New" w:hAnsi="Courier New" w:hint="default"/>
      </w:rPr>
    </w:lvl>
    <w:lvl w:ilvl="8" w:tplc="C336A9D2">
      <w:start w:val="1"/>
      <w:numFmt w:val="bullet"/>
      <w:lvlText w:val=""/>
      <w:lvlJc w:val="left"/>
      <w:pPr>
        <w:ind w:left="6480" w:hanging="360"/>
      </w:pPr>
      <w:rPr>
        <w:rFonts w:ascii="Wingdings" w:hAnsi="Wingdings" w:hint="default"/>
      </w:rPr>
    </w:lvl>
  </w:abstractNum>
  <w:abstractNum w:abstractNumId="18" w15:restartNumberingAfterBreak="0">
    <w:nsid w:val="66A93865"/>
    <w:multiLevelType w:val="hybridMultilevel"/>
    <w:tmpl w:val="99EC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8509F8"/>
    <w:multiLevelType w:val="hybridMultilevel"/>
    <w:tmpl w:val="425E975A"/>
    <w:lvl w:ilvl="0" w:tplc="0809000B">
      <w:start w:val="1"/>
      <w:numFmt w:val="bullet"/>
      <w:lvlText w:val=""/>
      <w:lvlJc w:val="left"/>
      <w:pPr>
        <w:ind w:left="420" w:hanging="360"/>
      </w:pPr>
      <w:rPr>
        <w:rFonts w:ascii="Wingdings" w:hAnsi="Wingding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0" w15:restartNumberingAfterBreak="0">
    <w:nsid w:val="70901A6D"/>
    <w:multiLevelType w:val="multilevel"/>
    <w:tmpl w:val="C8DAF9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C84E70"/>
    <w:multiLevelType w:val="hybridMultilevel"/>
    <w:tmpl w:val="FFFFFFFF"/>
    <w:lvl w:ilvl="0" w:tplc="AB128482">
      <w:start w:val="1"/>
      <w:numFmt w:val="bullet"/>
      <w:lvlText w:val="·"/>
      <w:lvlJc w:val="left"/>
      <w:pPr>
        <w:ind w:left="720" w:hanging="360"/>
      </w:pPr>
      <w:rPr>
        <w:rFonts w:ascii="Symbol" w:hAnsi="Symbol" w:hint="default"/>
      </w:rPr>
    </w:lvl>
    <w:lvl w:ilvl="1" w:tplc="E828E822">
      <w:start w:val="1"/>
      <w:numFmt w:val="bullet"/>
      <w:lvlText w:val="o"/>
      <w:lvlJc w:val="left"/>
      <w:pPr>
        <w:ind w:left="1440" w:hanging="360"/>
      </w:pPr>
      <w:rPr>
        <w:rFonts w:ascii="Courier New" w:hAnsi="Courier New" w:hint="default"/>
      </w:rPr>
    </w:lvl>
    <w:lvl w:ilvl="2" w:tplc="E58269B0">
      <w:start w:val="1"/>
      <w:numFmt w:val="bullet"/>
      <w:lvlText w:val=""/>
      <w:lvlJc w:val="left"/>
      <w:pPr>
        <w:ind w:left="2160" w:hanging="360"/>
      </w:pPr>
      <w:rPr>
        <w:rFonts w:ascii="Wingdings" w:hAnsi="Wingdings" w:hint="default"/>
      </w:rPr>
    </w:lvl>
    <w:lvl w:ilvl="3" w:tplc="F26257BC">
      <w:start w:val="1"/>
      <w:numFmt w:val="bullet"/>
      <w:lvlText w:val=""/>
      <w:lvlJc w:val="left"/>
      <w:pPr>
        <w:ind w:left="2880" w:hanging="360"/>
      </w:pPr>
      <w:rPr>
        <w:rFonts w:ascii="Symbol" w:hAnsi="Symbol" w:hint="default"/>
      </w:rPr>
    </w:lvl>
    <w:lvl w:ilvl="4" w:tplc="51EE8B6C">
      <w:start w:val="1"/>
      <w:numFmt w:val="bullet"/>
      <w:lvlText w:val="o"/>
      <w:lvlJc w:val="left"/>
      <w:pPr>
        <w:ind w:left="3600" w:hanging="360"/>
      </w:pPr>
      <w:rPr>
        <w:rFonts w:ascii="Courier New" w:hAnsi="Courier New" w:hint="default"/>
      </w:rPr>
    </w:lvl>
    <w:lvl w:ilvl="5" w:tplc="2D5CB1D4">
      <w:start w:val="1"/>
      <w:numFmt w:val="bullet"/>
      <w:lvlText w:val=""/>
      <w:lvlJc w:val="left"/>
      <w:pPr>
        <w:ind w:left="4320" w:hanging="360"/>
      </w:pPr>
      <w:rPr>
        <w:rFonts w:ascii="Wingdings" w:hAnsi="Wingdings" w:hint="default"/>
      </w:rPr>
    </w:lvl>
    <w:lvl w:ilvl="6" w:tplc="B950E20E">
      <w:start w:val="1"/>
      <w:numFmt w:val="bullet"/>
      <w:lvlText w:val=""/>
      <w:lvlJc w:val="left"/>
      <w:pPr>
        <w:ind w:left="5040" w:hanging="360"/>
      </w:pPr>
      <w:rPr>
        <w:rFonts w:ascii="Symbol" w:hAnsi="Symbol" w:hint="default"/>
      </w:rPr>
    </w:lvl>
    <w:lvl w:ilvl="7" w:tplc="D67AA02E">
      <w:start w:val="1"/>
      <w:numFmt w:val="bullet"/>
      <w:lvlText w:val="o"/>
      <w:lvlJc w:val="left"/>
      <w:pPr>
        <w:ind w:left="5760" w:hanging="360"/>
      </w:pPr>
      <w:rPr>
        <w:rFonts w:ascii="Courier New" w:hAnsi="Courier New" w:hint="default"/>
      </w:rPr>
    </w:lvl>
    <w:lvl w:ilvl="8" w:tplc="6E400DE8">
      <w:start w:val="1"/>
      <w:numFmt w:val="bullet"/>
      <w:lvlText w:val=""/>
      <w:lvlJc w:val="left"/>
      <w:pPr>
        <w:ind w:left="6480" w:hanging="360"/>
      </w:pPr>
      <w:rPr>
        <w:rFonts w:ascii="Wingdings" w:hAnsi="Wingdings" w:hint="default"/>
      </w:rPr>
    </w:lvl>
  </w:abstractNum>
  <w:num w:numId="1" w16cid:durableId="2139107481">
    <w:abstractNumId w:val="5"/>
  </w:num>
  <w:num w:numId="2" w16cid:durableId="1781874875">
    <w:abstractNumId w:val="1"/>
  </w:num>
  <w:num w:numId="3" w16cid:durableId="313264214">
    <w:abstractNumId w:val="14"/>
  </w:num>
  <w:num w:numId="4" w16cid:durableId="1212116516">
    <w:abstractNumId w:val="0"/>
  </w:num>
  <w:num w:numId="5" w16cid:durableId="875317163">
    <w:abstractNumId w:val="20"/>
  </w:num>
  <w:num w:numId="6" w16cid:durableId="1304311469">
    <w:abstractNumId w:val="19"/>
  </w:num>
  <w:num w:numId="7" w16cid:durableId="1741051233">
    <w:abstractNumId w:val="2"/>
  </w:num>
  <w:num w:numId="8" w16cid:durableId="1183394558">
    <w:abstractNumId w:val="17"/>
  </w:num>
  <w:num w:numId="9" w16cid:durableId="2016036673">
    <w:abstractNumId w:val="10"/>
  </w:num>
  <w:num w:numId="10" w16cid:durableId="125973544">
    <w:abstractNumId w:val="13"/>
  </w:num>
  <w:num w:numId="11" w16cid:durableId="733115594">
    <w:abstractNumId w:val="6"/>
  </w:num>
  <w:num w:numId="12" w16cid:durableId="686561376">
    <w:abstractNumId w:val="15"/>
  </w:num>
  <w:num w:numId="13" w16cid:durableId="712583259">
    <w:abstractNumId w:val="21"/>
  </w:num>
  <w:num w:numId="14" w16cid:durableId="1766724129">
    <w:abstractNumId w:val="8"/>
  </w:num>
  <w:num w:numId="15" w16cid:durableId="1064371681">
    <w:abstractNumId w:val="16"/>
  </w:num>
  <w:num w:numId="16" w16cid:durableId="1355230482">
    <w:abstractNumId w:val="4"/>
  </w:num>
  <w:num w:numId="17" w16cid:durableId="1561212361">
    <w:abstractNumId w:val="11"/>
  </w:num>
  <w:num w:numId="18" w16cid:durableId="1294143105">
    <w:abstractNumId w:val="18"/>
  </w:num>
  <w:num w:numId="19" w16cid:durableId="1759982206">
    <w:abstractNumId w:val="3"/>
  </w:num>
  <w:num w:numId="20" w16cid:durableId="1677609457">
    <w:abstractNumId w:val="12"/>
  </w:num>
  <w:num w:numId="21" w16cid:durableId="1198077969">
    <w:abstractNumId w:val="9"/>
  </w:num>
  <w:num w:numId="22" w16cid:durableId="106719360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mbersExpectedShortRepresentingCells" w:val=" "/>
  </w:docVars>
  <w:rsids>
    <w:rsidRoot w:val="00F05951"/>
    <w:rsid w:val="00000AFE"/>
    <w:rsid w:val="00002C82"/>
    <w:rsid w:val="00007D36"/>
    <w:rsid w:val="0001085B"/>
    <w:rsid w:val="00016EE6"/>
    <w:rsid w:val="00017F50"/>
    <w:rsid w:val="00024A84"/>
    <w:rsid w:val="000264FF"/>
    <w:rsid w:val="0002784F"/>
    <w:rsid w:val="00033888"/>
    <w:rsid w:val="00036F2A"/>
    <w:rsid w:val="00041846"/>
    <w:rsid w:val="00045BDF"/>
    <w:rsid w:val="00054401"/>
    <w:rsid w:val="00061A89"/>
    <w:rsid w:val="00061B32"/>
    <w:rsid w:val="00065AEA"/>
    <w:rsid w:val="00076D07"/>
    <w:rsid w:val="00082DD2"/>
    <w:rsid w:val="00086B3A"/>
    <w:rsid w:val="00093656"/>
    <w:rsid w:val="000A18C9"/>
    <w:rsid w:val="000A1F36"/>
    <w:rsid w:val="000A347D"/>
    <w:rsid w:val="000C2CEB"/>
    <w:rsid w:val="000C6E5C"/>
    <w:rsid w:val="000D296A"/>
    <w:rsid w:val="000D70AA"/>
    <w:rsid w:val="000E2EEB"/>
    <w:rsid w:val="000E2FD6"/>
    <w:rsid w:val="000F1670"/>
    <w:rsid w:val="000F2C76"/>
    <w:rsid w:val="000F54D2"/>
    <w:rsid w:val="00105964"/>
    <w:rsid w:val="0011381C"/>
    <w:rsid w:val="00122BCA"/>
    <w:rsid w:val="001245EC"/>
    <w:rsid w:val="00140701"/>
    <w:rsid w:val="00140A12"/>
    <w:rsid w:val="00146632"/>
    <w:rsid w:val="00146E3B"/>
    <w:rsid w:val="00147C3E"/>
    <w:rsid w:val="00153780"/>
    <w:rsid w:val="00154318"/>
    <w:rsid w:val="001646A2"/>
    <w:rsid w:val="00171A68"/>
    <w:rsid w:val="00175CA4"/>
    <w:rsid w:val="00177078"/>
    <w:rsid w:val="0017768B"/>
    <w:rsid w:val="00193BCC"/>
    <w:rsid w:val="00197B41"/>
    <w:rsid w:val="001A33AF"/>
    <w:rsid w:val="001A4D43"/>
    <w:rsid w:val="001B0D79"/>
    <w:rsid w:val="001B47B2"/>
    <w:rsid w:val="001C062D"/>
    <w:rsid w:val="001C4A82"/>
    <w:rsid w:val="001C7854"/>
    <w:rsid w:val="001D7102"/>
    <w:rsid w:val="001D78E4"/>
    <w:rsid w:val="001E664D"/>
    <w:rsid w:val="001F2374"/>
    <w:rsid w:val="001F56EC"/>
    <w:rsid w:val="001F7577"/>
    <w:rsid w:val="001F7918"/>
    <w:rsid w:val="0020297F"/>
    <w:rsid w:val="00204C6B"/>
    <w:rsid w:val="00217F3D"/>
    <w:rsid w:val="0022064D"/>
    <w:rsid w:val="00221C98"/>
    <w:rsid w:val="002231BC"/>
    <w:rsid w:val="00226E17"/>
    <w:rsid w:val="00234465"/>
    <w:rsid w:val="0023448D"/>
    <w:rsid w:val="00234CEA"/>
    <w:rsid w:val="00237134"/>
    <w:rsid w:val="00247F81"/>
    <w:rsid w:val="002536BB"/>
    <w:rsid w:val="0025440E"/>
    <w:rsid w:val="00255AD2"/>
    <w:rsid w:val="00260871"/>
    <w:rsid w:val="00263ABD"/>
    <w:rsid w:val="00264300"/>
    <w:rsid w:val="00272517"/>
    <w:rsid w:val="00272DE1"/>
    <w:rsid w:val="0027606C"/>
    <w:rsid w:val="0027705D"/>
    <w:rsid w:val="00290922"/>
    <w:rsid w:val="0029414B"/>
    <w:rsid w:val="002943BB"/>
    <w:rsid w:val="00294FFF"/>
    <w:rsid w:val="002A2D5A"/>
    <w:rsid w:val="002A32C9"/>
    <w:rsid w:val="002A74D8"/>
    <w:rsid w:val="002B0B6E"/>
    <w:rsid w:val="002B3D2F"/>
    <w:rsid w:val="002B7A8E"/>
    <w:rsid w:val="002C2040"/>
    <w:rsid w:val="002C20FD"/>
    <w:rsid w:val="002C2476"/>
    <w:rsid w:val="002D00AF"/>
    <w:rsid w:val="002D5982"/>
    <w:rsid w:val="002D7D73"/>
    <w:rsid w:val="002E2B15"/>
    <w:rsid w:val="002E463E"/>
    <w:rsid w:val="002F1DF1"/>
    <w:rsid w:val="002F4D41"/>
    <w:rsid w:val="002F7636"/>
    <w:rsid w:val="00304F46"/>
    <w:rsid w:val="0030536E"/>
    <w:rsid w:val="0030558B"/>
    <w:rsid w:val="00311BD2"/>
    <w:rsid w:val="0031364B"/>
    <w:rsid w:val="003152FE"/>
    <w:rsid w:val="00317AF2"/>
    <w:rsid w:val="003257F7"/>
    <w:rsid w:val="0032600D"/>
    <w:rsid w:val="00342B5D"/>
    <w:rsid w:val="00343C8D"/>
    <w:rsid w:val="0035096B"/>
    <w:rsid w:val="00353F9E"/>
    <w:rsid w:val="003568FE"/>
    <w:rsid w:val="00356965"/>
    <w:rsid w:val="00364414"/>
    <w:rsid w:val="003710E9"/>
    <w:rsid w:val="003744E1"/>
    <w:rsid w:val="00374A3A"/>
    <w:rsid w:val="00377B42"/>
    <w:rsid w:val="00382480"/>
    <w:rsid w:val="00387E6C"/>
    <w:rsid w:val="0039287D"/>
    <w:rsid w:val="00394C88"/>
    <w:rsid w:val="003A67B1"/>
    <w:rsid w:val="003A77DC"/>
    <w:rsid w:val="003B5DDE"/>
    <w:rsid w:val="003C27DD"/>
    <w:rsid w:val="003C6151"/>
    <w:rsid w:val="003D5C24"/>
    <w:rsid w:val="003D62AA"/>
    <w:rsid w:val="003D684F"/>
    <w:rsid w:val="003E1423"/>
    <w:rsid w:val="003E6D75"/>
    <w:rsid w:val="003E6DC5"/>
    <w:rsid w:val="003F0305"/>
    <w:rsid w:val="003F33FE"/>
    <w:rsid w:val="003F4722"/>
    <w:rsid w:val="003F6CD3"/>
    <w:rsid w:val="003F7755"/>
    <w:rsid w:val="00411048"/>
    <w:rsid w:val="0042006B"/>
    <w:rsid w:val="004236CE"/>
    <w:rsid w:val="0042665F"/>
    <w:rsid w:val="00430ACC"/>
    <w:rsid w:val="00432854"/>
    <w:rsid w:val="0043576B"/>
    <w:rsid w:val="00440E40"/>
    <w:rsid w:val="00441689"/>
    <w:rsid w:val="00445D45"/>
    <w:rsid w:val="00446996"/>
    <w:rsid w:val="00454BBF"/>
    <w:rsid w:val="00455BFD"/>
    <w:rsid w:val="0045631C"/>
    <w:rsid w:val="00457960"/>
    <w:rsid w:val="00464FCC"/>
    <w:rsid w:val="00465634"/>
    <w:rsid w:val="00476480"/>
    <w:rsid w:val="004862DA"/>
    <w:rsid w:val="00486AFA"/>
    <w:rsid w:val="00491C18"/>
    <w:rsid w:val="00497CCF"/>
    <w:rsid w:val="004A7A61"/>
    <w:rsid w:val="004B77B0"/>
    <w:rsid w:val="004B7841"/>
    <w:rsid w:val="004C5713"/>
    <w:rsid w:val="004C7241"/>
    <w:rsid w:val="004C7479"/>
    <w:rsid w:val="004D6839"/>
    <w:rsid w:val="004D6D25"/>
    <w:rsid w:val="004E5094"/>
    <w:rsid w:val="004E6102"/>
    <w:rsid w:val="004F11E8"/>
    <w:rsid w:val="004F26AE"/>
    <w:rsid w:val="0050331A"/>
    <w:rsid w:val="005041F7"/>
    <w:rsid w:val="005109DD"/>
    <w:rsid w:val="00511806"/>
    <w:rsid w:val="00525CF6"/>
    <w:rsid w:val="005270A7"/>
    <w:rsid w:val="005306DB"/>
    <w:rsid w:val="005324BF"/>
    <w:rsid w:val="0053395D"/>
    <w:rsid w:val="00536803"/>
    <w:rsid w:val="00540809"/>
    <w:rsid w:val="00545706"/>
    <w:rsid w:val="00551F10"/>
    <w:rsid w:val="005552F2"/>
    <w:rsid w:val="00556059"/>
    <w:rsid w:val="00560870"/>
    <w:rsid w:val="0056120D"/>
    <w:rsid w:val="00561D78"/>
    <w:rsid w:val="00566D07"/>
    <w:rsid w:val="005672B7"/>
    <w:rsid w:val="00567CFF"/>
    <w:rsid w:val="00571095"/>
    <w:rsid w:val="005724E8"/>
    <w:rsid w:val="00576E5B"/>
    <w:rsid w:val="0057728A"/>
    <w:rsid w:val="00584A70"/>
    <w:rsid w:val="005A1EDD"/>
    <w:rsid w:val="005B094D"/>
    <w:rsid w:val="005B1F37"/>
    <w:rsid w:val="005B2C81"/>
    <w:rsid w:val="005B2CCA"/>
    <w:rsid w:val="005B594E"/>
    <w:rsid w:val="005B5E1C"/>
    <w:rsid w:val="005C64C7"/>
    <w:rsid w:val="005C6A8F"/>
    <w:rsid w:val="005D3D60"/>
    <w:rsid w:val="005E0269"/>
    <w:rsid w:val="005E1517"/>
    <w:rsid w:val="005F201F"/>
    <w:rsid w:val="005F2B95"/>
    <w:rsid w:val="005F3EF6"/>
    <w:rsid w:val="005F4F64"/>
    <w:rsid w:val="005F792D"/>
    <w:rsid w:val="005F7EC0"/>
    <w:rsid w:val="00602B5E"/>
    <w:rsid w:val="00610669"/>
    <w:rsid w:val="00615F0F"/>
    <w:rsid w:val="006210ED"/>
    <w:rsid w:val="006230DE"/>
    <w:rsid w:val="0062719F"/>
    <w:rsid w:val="00630BEB"/>
    <w:rsid w:val="0063203A"/>
    <w:rsid w:val="00644412"/>
    <w:rsid w:val="00646547"/>
    <w:rsid w:val="00647D4D"/>
    <w:rsid w:val="006505F8"/>
    <w:rsid w:val="00652DCB"/>
    <w:rsid w:val="00653121"/>
    <w:rsid w:val="00655D24"/>
    <w:rsid w:val="00656A21"/>
    <w:rsid w:val="0067514A"/>
    <w:rsid w:val="00680F44"/>
    <w:rsid w:val="0068107D"/>
    <w:rsid w:val="00681B13"/>
    <w:rsid w:val="00685497"/>
    <w:rsid w:val="00685ED7"/>
    <w:rsid w:val="006870BE"/>
    <w:rsid w:val="006939F7"/>
    <w:rsid w:val="006A1137"/>
    <w:rsid w:val="006A30ED"/>
    <w:rsid w:val="006A7846"/>
    <w:rsid w:val="006B2A0B"/>
    <w:rsid w:val="006B375B"/>
    <w:rsid w:val="006B680E"/>
    <w:rsid w:val="006B7672"/>
    <w:rsid w:val="006C026E"/>
    <w:rsid w:val="006D5294"/>
    <w:rsid w:val="006D5387"/>
    <w:rsid w:val="006D605D"/>
    <w:rsid w:val="006D76E4"/>
    <w:rsid w:val="006E32D0"/>
    <w:rsid w:val="006E51AF"/>
    <w:rsid w:val="0070516E"/>
    <w:rsid w:val="007064D1"/>
    <w:rsid w:val="00716397"/>
    <w:rsid w:val="00720F6D"/>
    <w:rsid w:val="00723880"/>
    <w:rsid w:val="00725573"/>
    <w:rsid w:val="0073760E"/>
    <w:rsid w:val="007421BC"/>
    <w:rsid w:val="00743D74"/>
    <w:rsid w:val="00744205"/>
    <w:rsid w:val="007479B1"/>
    <w:rsid w:val="00760426"/>
    <w:rsid w:val="0076401C"/>
    <w:rsid w:val="007731D9"/>
    <w:rsid w:val="00780089"/>
    <w:rsid w:val="00783E3D"/>
    <w:rsid w:val="00786EC4"/>
    <w:rsid w:val="0079177A"/>
    <w:rsid w:val="00797329"/>
    <w:rsid w:val="007A4D22"/>
    <w:rsid w:val="007A6E80"/>
    <w:rsid w:val="007B09F6"/>
    <w:rsid w:val="007B2373"/>
    <w:rsid w:val="007B2E02"/>
    <w:rsid w:val="007C26BB"/>
    <w:rsid w:val="007C614E"/>
    <w:rsid w:val="007C64BB"/>
    <w:rsid w:val="007C726C"/>
    <w:rsid w:val="007D2CCC"/>
    <w:rsid w:val="007D2EC0"/>
    <w:rsid w:val="007D4475"/>
    <w:rsid w:val="007D4CED"/>
    <w:rsid w:val="007E075C"/>
    <w:rsid w:val="007E1924"/>
    <w:rsid w:val="007E2A36"/>
    <w:rsid w:val="007F1478"/>
    <w:rsid w:val="007F6B50"/>
    <w:rsid w:val="008002AE"/>
    <w:rsid w:val="0080325D"/>
    <w:rsid w:val="008047B8"/>
    <w:rsid w:val="00805981"/>
    <w:rsid w:val="00820989"/>
    <w:rsid w:val="00824439"/>
    <w:rsid w:val="00824F28"/>
    <w:rsid w:val="008305F5"/>
    <w:rsid w:val="008366B4"/>
    <w:rsid w:val="008369E1"/>
    <w:rsid w:val="00844186"/>
    <w:rsid w:val="00844837"/>
    <w:rsid w:val="008525F4"/>
    <w:rsid w:val="00853B2B"/>
    <w:rsid w:val="00855A67"/>
    <w:rsid w:val="0085632C"/>
    <w:rsid w:val="00857896"/>
    <w:rsid w:val="0086059D"/>
    <w:rsid w:val="00864321"/>
    <w:rsid w:val="0086440D"/>
    <w:rsid w:val="00872833"/>
    <w:rsid w:val="008763F3"/>
    <w:rsid w:val="00876C06"/>
    <w:rsid w:val="00885259"/>
    <w:rsid w:val="008879F0"/>
    <w:rsid w:val="00893E74"/>
    <w:rsid w:val="008A3D99"/>
    <w:rsid w:val="008A48EA"/>
    <w:rsid w:val="008A4996"/>
    <w:rsid w:val="008B1491"/>
    <w:rsid w:val="008B1636"/>
    <w:rsid w:val="008C51BD"/>
    <w:rsid w:val="008D0048"/>
    <w:rsid w:val="008D136E"/>
    <w:rsid w:val="008D7C17"/>
    <w:rsid w:val="008E085D"/>
    <w:rsid w:val="008E3023"/>
    <w:rsid w:val="008E444A"/>
    <w:rsid w:val="008F2989"/>
    <w:rsid w:val="009048B0"/>
    <w:rsid w:val="00905B76"/>
    <w:rsid w:val="00907B0C"/>
    <w:rsid w:val="009124DA"/>
    <w:rsid w:val="00921242"/>
    <w:rsid w:val="00924B36"/>
    <w:rsid w:val="00935E53"/>
    <w:rsid w:val="0095084D"/>
    <w:rsid w:val="00952324"/>
    <w:rsid w:val="009574F6"/>
    <w:rsid w:val="00962B03"/>
    <w:rsid w:val="00966F61"/>
    <w:rsid w:val="009729F6"/>
    <w:rsid w:val="009743D5"/>
    <w:rsid w:val="00976460"/>
    <w:rsid w:val="00976D7A"/>
    <w:rsid w:val="00977170"/>
    <w:rsid w:val="009773E5"/>
    <w:rsid w:val="00977703"/>
    <w:rsid w:val="00981286"/>
    <w:rsid w:val="009871AF"/>
    <w:rsid w:val="009A06A2"/>
    <w:rsid w:val="009A3157"/>
    <w:rsid w:val="009A33BE"/>
    <w:rsid w:val="009B35B5"/>
    <w:rsid w:val="009B4BE3"/>
    <w:rsid w:val="009B6C52"/>
    <w:rsid w:val="009C5DB4"/>
    <w:rsid w:val="009D0166"/>
    <w:rsid w:val="009D0252"/>
    <w:rsid w:val="009D1CAC"/>
    <w:rsid w:val="009D5FE0"/>
    <w:rsid w:val="009E2069"/>
    <w:rsid w:val="009E2485"/>
    <w:rsid w:val="009E28D9"/>
    <w:rsid w:val="009E5E09"/>
    <w:rsid w:val="009F642B"/>
    <w:rsid w:val="00A00C79"/>
    <w:rsid w:val="00A04358"/>
    <w:rsid w:val="00A17C14"/>
    <w:rsid w:val="00A2143E"/>
    <w:rsid w:val="00A21D63"/>
    <w:rsid w:val="00A21EA9"/>
    <w:rsid w:val="00A32BA1"/>
    <w:rsid w:val="00A37CA3"/>
    <w:rsid w:val="00A37F76"/>
    <w:rsid w:val="00A4014E"/>
    <w:rsid w:val="00A43AB1"/>
    <w:rsid w:val="00A4444A"/>
    <w:rsid w:val="00A55AE7"/>
    <w:rsid w:val="00A5638A"/>
    <w:rsid w:val="00A56608"/>
    <w:rsid w:val="00A577FF"/>
    <w:rsid w:val="00A57AD1"/>
    <w:rsid w:val="00A61656"/>
    <w:rsid w:val="00A63704"/>
    <w:rsid w:val="00A6429C"/>
    <w:rsid w:val="00A73230"/>
    <w:rsid w:val="00A77F71"/>
    <w:rsid w:val="00A83412"/>
    <w:rsid w:val="00A87C54"/>
    <w:rsid w:val="00A90ADD"/>
    <w:rsid w:val="00A9417C"/>
    <w:rsid w:val="00A94B00"/>
    <w:rsid w:val="00A96184"/>
    <w:rsid w:val="00AA4A5E"/>
    <w:rsid w:val="00AB0510"/>
    <w:rsid w:val="00AB7AB6"/>
    <w:rsid w:val="00AB7DF4"/>
    <w:rsid w:val="00AD2FA6"/>
    <w:rsid w:val="00AD3E56"/>
    <w:rsid w:val="00AD78FC"/>
    <w:rsid w:val="00AE23D5"/>
    <w:rsid w:val="00AE4553"/>
    <w:rsid w:val="00AE58FC"/>
    <w:rsid w:val="00AF72B7"/>
    <w:rsid w:val="00B00585"/>
    <w:rsid w:val="00B00A44"/>
    <w:rsid w:val="00B02CF8"/>
    <w:rsid w:val="00B03D05"/>
    <w:rsid w:val="00B12005"/>
    <w:rsid w:val="00B15297"/>
    <w:rsid w:val="00B208E0"/>
    <w:rsid w:val="00B211C3"/>
    <w:rsid w:val="00B36F6C"/>
    <w:rsid w:val="00B43D8B"/>
    <w:rsid w:val="00B46295"/>
    <w:rsid w:val="00B53594"/>
    <w:rsid w:val="00B555E5"/>
    <w:rsid w:val="00B5580A"/>
    <w:rsid w:val="00B66444"/>
    <w:rsid w:val="00B678AB"/>
    <w:rsid w:val="00B67969"/>
    <w:rsid w:val="00B70F32"/>
    <w:rsid w:val="00B73130"/>
    <w:rsid w:val="00B74070"/>
    <w:rsid w:val="00B74CD1"/>
    <w:rsid w:val="00B856B1"/>
    <w:rsid w:val="00BA1D64"/>
    <w:rsid w:val="00BA41D4"/>
    <w:rsid w:val="00BB49A9"/>
    <w:rsid w:val="00BC141E"/>
    <w:rsid w:val="00BC45B6"/>
    <w:rsid w:val="00BE28EC"/>
    <w:rsid w:val="00BE58FC"/>
    <w:rsid w:val="00C12C9E"/>
    <w:rsid w:val="00C1359D"/>
    <w:rsid w:val="00C1412F"/>
    <w:rsid w:val="00C2021F"/>
    <w:rsid w:val="00C27455"/>
    <w:rsid w:val="00C36F76"/>
    <w:rsid w:val="00C37E98"/>
    <w:rsid w:val="00C420F9"/>
    <w:rsid w:val="00C4216B"/>
    <w:rsid w:val="00C441B9"/>
    <w:rsid w:val="00C52D72"/>
    <w:rsid w:val="00C53265"/>
    <w:rsid w:val="00C53318"/>
    <w:rsid w:val="00C713E2"/>
    <w:rsid w:val="00C81BFE"/>
    <w:rsid w:val="00C87084"/>
    <w:rsid w:val="00C94F9F"/>
    <w:rsid w:val="00C9656B"/>
    <w:rsid w:val="00CA190C"/>
    <w:rsid w:val="00CA2275"/>
    <w:rsid w:val="00CA568C"/>
    <w:rsid w:val="00CA5B44"/>
    <w:rsid w:val="00CA65E5"/>
    <w:rsid w:val="00CB06D9"/>
    <w:rsid w:val="00CB720E"/>
    <w:rsid w:val="00CC0943"/>
    <w:rsid w:val="00CC1E41"/>
    <w:rsid w:val="00CC4DEF"/>
    <w:rsid w:val="00CC5FEB"/>
    <w:rsid w:val="00CD3C62"/>
    <w:rsid w:val="00CD7A3F"/>
    <w:rsid w:val="00CD7AFB"/>
    <w:rsid w:val="00CE48B3"/>
    <w:rsid w:val="00CF2186"/>
    <w:rsid w:val="00CF43D6"/>
    <w:rsid w:val="00D012A2"/>
    <w:rsid w:val="00D05E20"/>
    <w:rsid w:val="00D066D7"/>
    <w:rsid w:val="00D1294A"/>
    <w:rsid w:val="00D211D1"/>
    <w:rsid w:val="00D256F7"/>
    <w:rsid w:val="00D3288F"/>
    <w:rsid w:val="00D370E2"/>
    <w:rsid w:val="00D47AE7"/>
    <w:rsid w:val="00D536CE"/>
    <w:rsid w:val="00D5483E"/>
    <w:rsid w:val="00D72193"/>
    <w:rsid w:val="00D73509"/>
    <w:rsid w:val="00D8200F"/>
    <w:rsid w:val="00D82A42"/>
    <w:rsid w:val="00D8306D"/>
    <w:rsid w:val="00D92030"/>
    <w:rsid w:val="00DA2143"/>
    <w:rsid w:val="00DA591A"/>
    <w:rsid w:val="00DB0BCD"/>
    <w:rsid w:val="00DB0E55"/>
    <w:rsid w:val="00DB41E7"/>
    <w:rsid w:val="00DB6D80"/>
    <w:rsid w:val="00DC1BA8"/>
    <w:rsid w:val="00DC21E9"/>
    <w:rsid w:val="00DC50A3"/>
    <w:rsid w:val="00DD158F"/>
    <w:rsid w:val="00DD58ED"/>
    <w:rsid w:val="00DE0119"/>
    <w:rsid w:val="00DE57C8"/>
    <w:rsid w:val="00DF1CF2"/>
    <w:rsid w:val="00E00C79"/>
    <w:rsid w:val="00E122E7"/>
    <w:rsid w:val="00E13CE4"/>
    <w:rsid w:val="00E14972"/>
    <w:rsid w:val="00E14B3F"/>
    <w:rsid w:val="00E16888"/>
    <w:rsid w:val="00E2520C"/>
    <w:rsid w:val="00E25951"/>
    <w:rsid w:val="00E25A0B"/>
    <w:rsid w:val="00E3404B"/>
    <w:rsid w:val="00E45795"/>
    <w:rsid w:val="00E47576"/>
    <w:rsid w:val="00E47B24"/>
    <w:rsid w:val="00E47C35"/>
    <w:rsid w:val="00E766F3"/>
    <w:rsid w:val="00E77073"/>
    <w:rsid w:val="00E819BB"/>
    <w:rsid w:val="00E82713"/>
    <w:rsid w:val="00E8557F"/>
    <w:rsid w:val="00EA230E"/>
    <w:rsid w:val="00EA37D3"/>
    <w:rsid w:val="00EA5879"/>
    <w:rsid w:val="00EB415F"/>
    <w:rsid w:val="00ED5603"/>
    <w:rsid w:val="00EE7D73"/>
    <w:rsid w:val="00EF4981"/>
    <w:rsid w:val="00F05951"/>
    <w:rsid w:val="00F065F2"/>
    <w:rsid w:val="00F06F48"/>
    <w:rsid w:val="00F07691"/>
    <w:rsid w:val="00F1070C"/>
    <w:rsid w:val="00F10789"/>
    <w:rsid w:val="00F244F7"/>
    <w:rsid w:val="00F269D1"/>
    <w:rsid w:val="00F31870"/>
    <w:rsid w:val="00F3247E"/>
    <w:rsid w:val="00F32583"/>
    <w:rsid w:val="00F375A5"/>
    <w:rsid w:val="00F451FE"/>
    <w:rsid w:val="00F479BD"/>
    <w:rsid w:val="00F513DC"/>
    <w:rsid w:val="00F55FFE"/>
    <w:rsid w:val="00F64120"/>
    <w:rsid w:val="00F70ACC"/>
    <w:rsid w:val="00F74086"/>
    <w:rsid w:val="00F749E4"/>
    <w:rsid w:val="00F75021"/>
    <w:rsid w:val="00F83A05"/>
    <w:rsid w:val="00F87609"/>
    <w:rsid w:val="00F87B0D"/>
    <w:rsid w:val="00FA068A"/>
    <w:rsid w:val="00FA52F7"/>
    <w:rsid w:val="00FB0290"/>
    <w:rsid w:val="00FB445B"/>
    <w:rsid w:val="00FB5F09"/>
    <w:rsid w:val="00FC1E38"/>
    <w:rsid w:val="00FD587C"/>
    <w:rsid w:val="00FE20F1"/>
    <w:rsid w:val="00FE2D7F"/>
    <w:rsid w:val="00FE5864"/>
    <w:rsid w:val="00FF2D98"/>
    <w:rsid w:val="00FF41E3"/>
    <w:rsid w:val="00FF56A8"/>
    <w:rsid w:val="00FF5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9AC6EC1"/>
  <w15:chartTrackingRefBased/>
  <w15:docId w15:val="{4B04136C-51E6-4501-A14A-66C19ADD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870"/>
    <w:rPr>
      <w:rFonts w:ascii="Arial" w:hAnsi="Arial" w:cs="Verdana"/>
      <w:sz w:val="24"/>
      <w:szCs w:val="22"/>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spacing w:line="360" w:lineRule="auto"/>
      <w:outlineLvl w:val="2"/>
    </w:pPr>
    <w:rPr>
      <w:b/>
      <w:bCs/>
      <w:sz w:val="28"/>
      <w:szCs w:val="28"/>
    </w:rPr>
  </w:style>
  <w:style w:type="paragraph" w:styleId="Heading4">
    <w:name w:val="heading 4"/>
    <w:basedOn w:val="Normal"/>
    <w:next w:val="Normal"/>
    <w:qFormat/>
    <w:pPr>
      <w:keepNext/>
      <w:shd w:val="pct10" w:color="000000" w:fill="FFFFFF"/>
      <w:jc w:val="center"/>
      <w:outlineLvl w:val="3"/>
    </w:pPr>
    <w:rPr>
      <w:b/>
      <w:bCs/>
    </w:rPr>
  </w:style>
  <w:style w:type="paragraph" w:styleId="Heading5">
    <w:name w:val="heading 5"/>
    <w:basedOn w:val="Normal"/>
    <w:next w:val="Normal"/>
    <w:qFormat/>
    <w:pPr>
      <w:keepNext/>
      <w:spacing w:line="360" w:lineRule="auto"/>
      <w:outlineLvl w:val="4"/>
    </w:pPr>
    <w:rPr>
      <w:b/>
      <w:bCs/>
    </w:rPr>
  </w:style>
  <w:style w:type="paragraph" w:styleId="Heading6">
    <w:name w:val="heading 6"/>
    <w:basedOn w:val="Normal"/>
    <w:next w:val="Normal"/>
    <w:qFormat/>
    <w:pPr>
      <w:keepNext/>
      <w:outlineLvl w:val="5"/>
    </w:pPr>
    <w:rPr>
      <w:sz w:val="36"/>
      <w:szCs w:val="36"/>
    </w:rPr>
  </w:style>
  <w:style w:type="paragraph" w:styleId="Heading7">
    <w:name w:val="heading 7"/>
    <w:basedOn w:val="Normal"/>
    <w:next w:val="Normal"/>
    <w:qFormat/>
    <w:pPr>
      <w:keepNext/>
      <w:shd w:val="pct10" w:color="000000" w:fill="FFFFFF"/>
      <w:outlineLvl w:val="6"/>
    </w:pPr>
    <w:rPr>
      <w:sz w:val="44"/>
      <w:szCs w:val="44"/>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shd w:val="pct10" w:color="000000" w:fill="FFFFFF"/>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jc w:val="both"/>
    </w:pPr>
  </w:style>
  <w:style w:type="paragraph" w:styleId="Footer">
    <w:name w:val="footer"/>
    <w:basedOn w:val="Normal"/>
    <w:link w:val="FooterChar"/>
    <w:uiPriority w:val="99"/>
    <w:pPr>
      <w:tabs>
        <w:tab w:val="center" w:pos="4153"/>
        <w:tab w:val="right" w:pos="8306"/>
      </w:tabs>
      <w:jc w:val="both"/>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jc w:val="both"/>
    </w:pPr>
    <w:rPr>
      <w:b/>
      <w:bCs/>
      <w:i/>
      <w:iCs/>
    </w:rPr>
  </w:style>
  <w:style w:type="paragraph" w:styleId="BodyText2">
    <w:name w:val="Body Text 2"/>
    <w:basedOn w:val="Normal"/>
    <w:rPr>
      <w:b/>
      <w:bCs/>
    </w:rPr>
  </w:style>
  <w:style w:type="paragraph" w:styleId="Title">
    <w:name w:val="Title"/>
    <w:basedOn w:val="Normal"/>
    <w:link w:val="TitleChar"/>
    <w:qFormat/>
    <w:pPr>
      <w:jc w:val="center"/>
    </w:pPr>
    <w:rPr>
      <w:b/>
      <w:bCs/>
      <w:sz w:val="28"/>
      <w:szCs w:val="28"/>
    </w:rPr>
  </w:style>
  <w:style w:type="paragraph" w:styleId="BodyTextIndent">
    <w:name w:val="Body Text Indent"/>
    <w:basedOn w:val="Normal"/>
    <w:pPr>
      <w:ind w:left="720"/>
      <w:jc w:val="both"/>
    </w:pPr>
    <w:rPr>
      <w:b/>
      <w:bCs/>
      <w:i/>
      <w:iCs/>
    </w:rPr>
  </w:style>
  <w:style w:type="paragraph" w:styleId="BodyTextIndent2">
    <w:name w:val="Body Text Indent 2"/>
    <w:basedOn w:val="Normal"/>
    <w:pPr>
      <w:ind w:left="360"/>
    </w:pPr>
  </w:style>
  <w:style w:type="paragraph" w:styleId="BodyTextIndent3">
    <w:name w:val="Body Text Indent 3"/>
    <w:basedOn w:val="Normal"/>
    <w:pPr>
      <w:ind w:left="720"/>
      <w:jc w:val="both"/>
    </w:pPr>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tyleHeading2NotBoldNounderlineLeft">
    <w:name w:val="Style Heading 2 + Not Bold No underline Left"/>
    <w:basedOn w:val="Heading2"/>
    <w:rPr>
      <w:b/>
      <w:bCs/>
    </w:rPr>
  </w:style>
  <w:style w:type="table" w:styleId="TableGrid">
    <w:name w:val="Table Grid"/>
    <w:basedOn w:val="TableNormal"/>
    <w:uiPriority w:val="39"/>
    <w:rsid w:val="003F7755"/>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4722"/>
    <w:rPr>
      <w:rFonts w:ascii="Arial" w:hAnsi="Arial" w:cs="Verdana"/>
      <w:sz w:val="24"/>
      <w:szCs w:val="22"/>
    </w:rPr>
  </w:style>
  <w:style w:type="paragraph" w:styleId="BodyText3">
    <w:name w:val="Body Text 3"/>
    <w:basedOn w:val="Normal"/>
    <w:link w:val="BodyText3Char"/>
    <w:rsid w:val="0002784F"/>
    <w:pPr>
      <w:spacing w:after="120"/>
    </w:pPr>
    <w:rPr>
      <w:sz w:val="16"/>
      <w:szCs w:val="16"/>
    </w:rPr>
  </w:style>
  <w:style w:type="character" w:customStyle="1" w:styleId="BodyText3Char">
    <w:name w:val="Body Text 3 Char"/>
    <w:link w:val="BodyText3"/>
    <w:rsid w:val="0002784F"/>
    <w:rPr>
      <w:rFonts w:ascii="Arial" w:hAnsi="Arial" w:cs="Verdana"/>
      <w:sz w:val="16"/>
      <w:szCs w:val="16"/>
    </w:rPr>
  </w:style>
  <w:style w:type="character" w:customStyle="1" w:styleId="HeaderChar">
    <w:name w:val="Header Char"/>
    <w:link w:val="Header"/>
    <w:uiPriority w:val="99"/>
    <w:rsid w:val="0002784F"/>
    <w:rPr>
      <w:rFonts w:ascii="Arial" w:hAnsi="Arial" w:cs="Verdana"/>
      <w:sz w:val="24"/>
      <w:szCs w:val="22"/>
    </w:rPr>
  </w:style>
  <w:style w:type="paragraph" w:styleId="ListParagraph">
    <w:name w:val="List Paragraph"/>
    <w:basedOn w:val="Normal"/>
    <w:uiPriority w:val="34"/>
    <w:qFormat/>
    <w:rsid w:val="00CE48B3"/>
    <w:pPr>
      <w:ind w:left="720"/>
      <w:contextualSpacing/>
    </w:pPr>
    <w:rPr>
      <w:rFonts w:cs="Times New Roman"/>
      <w:sz w:val="22"/>
      <w:szCs w:val="24"/>
    </w:rPr>
  </w:style>
  <w:style w:type="paragraph" w:customStyle="1" w:styleId="Default">
    <w:name w:val="Default"/>
    <w:rsid w:val="0056087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D370E2"/>
    <w:rPr>
      <w:rFonts w:ascii="Tahoma" w:hAnsi="Tahoma" w:cs="Tahoma"/>
      <w:sz w:val="16"/>
      <w:szCs w:val="16"/>
    </w:rPr>
  </w:style>
  <w:style w:type="character" w:customStyle="1" w:styleId="BalloonTextChar">
    <w:name w:val="Balloon Text Char"/>
    <w:link w:val="BalloonText"/>
    <w:rsid w:val="00D370E2"/>
    <w:rPr>
      <w:rFonts w:ascii="Tahoma" w:hAnsi="Tahoma" w:cs="Tahoma"/>
      <w:sz w:val="16"/>
      <w:szCs w:val="16"/>
    </w:rPr>
  </w:style>
  <w:style w:type="paragraph" w:styleId="NoSpacing">
    <w:name w:val="No Spacing"/>
    <w:uiPriority w:val="1"/>
    <w:qFormat/>
    <w:rsid w:val="00723880"/>
    <w:rPr>
      <w:rFonts w:ascii="Arial" w:hAnsi="Arial" w:cs="Verdana"/>
      <w:sz w:val="24"/>
      <w:szCs w:val="22"/>
    </w:rPr>
  </w:style>
  <w:style w:type="character" w:customStyle="1" w:styleId="TitleChar">
    <w:name w:val="Title Char"/>
    <w:link w:val="Title"/>
    <w:locked/>
    <w:rsid w:val="005C6A8F"/>
    <w:rPr>
      <w:rFonts w:ascii="Arial" w:hAnsi="Arial" w:cs="Verdana"/>
      <w:b/>
      <w:bCs/>
      <w:sz w:val="28"/>
      <w:szCs w:val="28"/>
    </w:rPr>
  </w:style>
  <w:style w:type="paragraph" w:styleId="NormalWeb">
    <w:name w:val="Normal (Web)"/>
    <w:basedOn w:val="Normal"/>
    <w:uiPriority w:val="99"/>
    <w:unhideWhenUsed/>
    <w:rsid w:val="00D72193"/>
    <w:pPr>
      <w:spacing w:after="180"/>
    </w:pPr>
    <w:rPr>
      <w:rFonts w:ascii="Times New Roman" w:hAnsi="Times New Roman" w:cs="Times New Roman"/>
      <w:szCs w:val="24"/>
    </w:rPr>
  </w:style>
  <w:style w:type="character" w:styleId="Strong">
    <w:name w:val="Strong"/>
    <w:uiPriority w:val="22"/>
    <w:qFormat/>
    <w:rsid w:val="00D72193"/>
    <w:rPr>
      <w:b/>
      <w:bCs/>
    </w:rPr>
  </w:style>
  <w:style w:type="table" w:customStyle="1" w:styleId="TableGrid41">
    <w:name w:val="Table Grid41"/>
    <w:basedOn w:val="TableNormal"/>
    <w:next w:val="TableGrid"/>
    <w:uiPriority w:val="39"/>
    <w:rsid w:val="00455B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62DA"/>
    <w:rPr>
      <w:color w:val="605E5C"/>
      <w:shd w:val="clear" w:color="auto" w:fill="E1DFDD"/>
    </w:rPr>
  </w:style>
  <w:style w:type="paragraph" w:styleId="TOCHeading">
    <w:name w:val="TOC Heading"/>
    <w:basedOn w:val="Heading1"/>
    <w:next w:val="Normal"/>
    <w:uiPriority w:val="39"/>
    <w:unhideWhenUsed/>
    <w:qFormat/>
    <w:rsid w:val="00F244F7"/>
    <w:pPr>
      <w:keepLines/>
      <w:spacing w:before="240" w:line="259" w:lineRule="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F244F7"/>
    <w:pPr>
      <w:spacing w:after="100" w:line="259" w:lineRule="auto"/>
      <w:ind w:left="220"/>
    </w:pPr>
    <w:rPr>
      <w:rFonts w:asciiTheme="minorHAnsi" w:eastAsiaTheme="minorEastAsia" w:hAnsiTheme="minorHAnsi" w:cs="Times New Roman"/>
      <w:sz w:val="22"/>
      <w:lang w:val="en-US" w:eastAsia="en-US"/>
    </w:rPr>
  </w:style>
  <w:style w:type="paragraph" w:styleId="TOC1">
    <w:name w:val="toc 1"/>
    <w:basedOn w:val="Normal"/>
    <w:next w:val="Normal"/>
    <w:autoRedefine/>
    <w:uiPriority w:val="39"/>
    <w:unhideWhenUsed/>
    <w:rsid w:val="00F244F7"/>
    <w:pPr>
      <w:spacing w:after="100" w:line="259" w:lineRule="auto"/>
    </w:pPr>
    <w:rPr>
      <w:rFonts w:asciiTheme="minorHAnsi" w:eastAsiaTheme="minorEastAsia" w:hAnsiTheme="minorHAnsi" w:cs="Times New Roman"/>
      <w:sz w:val="22"/>
      <w:lang w:val="en-US" w:eastAsia="en-US"/>
    </w:rPr>
  </w:style>
  <w:style w:type="paragraph" w:styleId="TOC3">
    <w:name w:val="toc 3"/>
    <w:basedOn w:val="Normal"/>
    <w:next w:val="Normal"/>
    <w:autoRedefine/>
    <w:uiPriority w:val="39"/>
    <w:unhideWhenUsed/>
    <w:rsid w:val="00F244F7"/>
    <w:pPr>
      <w:spacing w:after="100" w:line="259" w:lineRule="auto"/>
      <w:ind w:left="440"/>
    </w:pPr>
    <w:rPr>
      <w:rFonts w:asciiTheme="minorHAnsi" w:eastAsiaTheme="minorEastAsia" w:hAnsiTheme="minorHAnsi" w:cs="Times New Roman"/>
      <w:sz w:val="22"/>
      <w:lang w:val="en-US" w:eastAsia="en-US"/>
    </w:rPr>
  </w:style>
  <w:style w:type="table" w:customStyle="1" w:styleId="TableGrid1">
    <w:name w:val="Table Grid1"/>
    <w:basedOn w:val="TableNormal"/>
    <w:next w:val="TableGrid"/>
    <w:uiPriority w:val="59"/>
    <w:rsid w:val="00263ABD"/>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512117">
      <w:bodyDiv w:val="1"/>
      <w:marLeft w:val="0"/>
      <w:marRight w:val="0"/>
      <w:marTop w:val="0"/>
      <w:marBottom w:val="0"/>
      <w:divBdr>
        <w:top w:val="none" w:sz="0" w:space="0" w:color="auto"/>
        <w:left w:val="none" w:sz="0" w:space="0" w:color="auto"/>
        <w:bottom w:val="none" w:sz="0" w:space="0" w:color="auto"/>
        <w:right w:val="none" w:sz="0" w:space="0" w:color="auto"/>
      </w:divBdr>
    </w:div>
    <w:div w:id="297151342">
      <w:bodyDiv w:val="1"/>
      <w:marLeft w:val="0"/>
      <w:marRight w:val="0"/>
      <w:marTop w:val="0"/>
      <w:marBottom w:val="0"/>
      <w:divBdr>
        <w:top w:val="none" w:sz="0" w:space="0" w:color="auto"/>
        <w:left w:val="none" w:sz="0" w:space="0" w:color="auto"/>
        <w:bottom w:val="none" w:sz="0" w:space="0" w:color="auto"/>
        <w:right w:val="none" w:sz="0" w:space="0" w:color="auto"/>
      </w:divBdr>
    </w:div>
    <w:div w:id="495463475">
      <w:bodyDiv w:val="1"/>
      <w:marLeft w:val="0"/>
      <w:marRight w:val="0"/>
      <w:marTop w:val="0"/>
      <w:marBottom w:val="0"/>
      <w:divBdr>
        <w:top w:val="none" w:sz="0" w:space="0" w:color="auto"/>
        <w:left w:val="none" w:sz="0" w:space="0" w:color="auto"/>
        <w:bottom w:val="none" w:sz="0" w:space="0" w:color="auto"/>
        <w:right w:val="none" w:sz="0" w:space="0" w:color="auto"/>
      </w:divBdr>
    </w:div>
    <w:div w:id="554200330">
      <w:bodyDiv w:val="1"/>
      <w:marLeft w:val="0"/>
      <w:marRight w:val="0"/>
      <w:marTop w:val="0"/>
      <w:marBottom w:val="0"/>
      <w:divBdr>
        <w:top w:val="none" w:sz="0" w:space="0" w:color="auto"/>
        <w:left w:val="none" w:sz="0" w:space="0" w:color="auto"/>
        <w:bottom w:val="none" w:sz="0" w:space="0" w:color="auto"/>
        <w:right w:val="none" w:sz="0" w:space="0" w:color="auto"/>
      </w:divBdr>
    </w:div>
    <w:div w:id="716318621">
      <w:bodyDiv w:val="1"/>
      <w:marLeft w:val="0"/>
      <w:marRight w:val="0"/>
      <w:marTop w:val="0"/>
      <w:marBottom w:val="0"/>
      <w:divBdr>
        <w:top w:val="none" w:sz="0" w:space="0" w:color="auto"/>
        <w:left w:val="none" w:sz="0" w:space="0" w:color="auto"/>
        <w:bottom w:val="none" w:sz="0" w:space="0" w:color="auto"/>
        <w:right w:val="none" w:sz="0" w:space="0" w:color="auto"/>
      </w:divBdr>
    </w:div>
    <w:div w:id="748621004">
      <w:bodyDiv w:val="1"/>
      <w:marLeft w:val="0"/>
      <w:marRight w:val="0"/>
      <w:marTop w:val="0"/>
      <w:marBottom w:val="0"/>
      <w:divBdr>
        <w:top w:val="none" w:sz="0" w:space="0" w:color="auto"/>
        <w:left w:val="none" w:sz="0" w:space="0" w:color="auto"/>
        <w:bottom w:val="none" w:sz="0" w:space="0" w:color="auto"/>
        <w:right w:val="none" w:sz="0" w:space="0" w:color="auto"/>
      </w:divBdr>
    </w:div>
    <w:div w:id="822241615">
      <w:bodyDiv w:val="1"/>
      <w:marLeft w:val="0"/>
      <w:marRight w:val="0"/>
      <w:marTop w:val="0"/>
      <w:marBottom w:val="0"/>
      <w:divBdr>
        <w:top w:val="none" w:sz="0" w:space="0" w:color="auto"/>
        <w:left w:val="none" w:sz="0" w:space="0" w:color="auto"/>
        <w:bottom w:val="none" w:sz="0" w:space="0" w:color="auto"/>
        <w:right w:val="none" w:sz="0" w:space="0" w:color="auto"/>
      </w:divBdr>
    </w:div>
    <w:div w:id="1161386977">
      <w:bodyDiv w:val="1"/>
      <w:marLeft w:val="0"/>
      <w:marRight w:val="0"/>
      <w:marTop w:val="0"/>
      <w:marBottom w:val="0"/>
      <w:divBdr>
        <w:top w:val="none" w:sz="0" w:space="0" w:color="auto"/>
        <w:left w:val="none" w:sz="0" w:space="0" w:color="auto"/>
        <w:bottom w:val="none" w:sz="0" w:space="0" w:color="auto"/>
        <w:right w:val="none" w:sz="0" w:space="0" w:color="auto"/>
      </w:divBdr>
    </w:div>
    <w:div w:id="1312637479">
      <w:bodyDiv w:val="1"/>
      <w:marLeft w:val="0"/>
      <w:marRight w:val="0"/>
      <w:marTop w:val="0"/>
      <w:marBottom w:val="0"/>
      <w:divBdr>
        <w:top w:val="none" w:sz="0" w:space="0" w:color="auto"/>
        <w:left w:val="none" w:sz="0" w:space="0" w:color="auto"/>
        <w:bottom w:val="none" w:sz="0" w:space="0" w:color="auto"/>
        <w:right w:val="none" w:sz="0" w:space="0" w:color="auto"/>
      </w:divBdr>
    </w:div>
    <w:div w:id="1326401201">
      <w:bodyDiv w:val="1"/>
      <w:marLeft w:val="0"/>
      <w:marRight w:val="0"/>
      <w:marTop w:val="0"/>
      <w:marBottom w:val="0"/>
      <w:divBdr>
        <w:top w:val="none" w:sz="0" w:space="0" w:color="auto"/>
        <w:left w:val="none" w:sz="0" w:space="0" w:color="auto"/>
        <w:bottom w:val="none" w:sz="0" w:space="0" w:color="auto"/>
        <w:right w:val="none" w:sz="0" w:space="0" w:color="auto"/>
      </w:divBdr>
    </w:div>
    <w:div w:id="1419406660">
      <w:bodyDiv w:val="1"/>
      <w:marLeft w:val="0"/>
      <w:marRight w:val="0"/>
      <w:marTop w:val="0"/>
      <w:marBottom w:val="0"/>
      <w:divBdr>
        <w:top w:val="none" w:sz="0" w:space="0" w:color="auto"/>
        <w:left w:val="none" w:sz="0" w:space="0" w:color="auto"/>
        <w:bottom w:val="none" w:sz="0" w:space="0" w:color="auto"/>
        <w:right w:val="none" w:sz="0" w:space="0" w:color="auto"/>
      </w:divBdr>
    </w:div>
    <w:div w:id="1610311743">
      <w:bodyDiv w:val="1"/>
      <w:marLeft w:val="0"/>
      <w:marRight w:val="0"/>
      <w:marTop w:val="0"/>
      <w:marBottom w:val="0"/>
      <w:divBdr>
        <w:top w:val="none" w:sz="0" w:space="0" w:color="auto"/>
        <w:left w:val="none" w:sz="0" w:space="0" w:color="auto"/>
        <w:bottom w:val="none" w:sz="0" w:space="0" w:color="auto"/>
        <w:right w:val="none" w:sz="0" w:space="0" w:color="auto"/>
      </w:divBdr>
    </w:div>
    <w:div w:id="1728143756">
      <w:bodyDiv w:val="1"/>
      <w:marLeft w:val="0"/>
      <w:marRight w:val="0"/>
      <w:marTop w:val="0"/>
      <w:marBottom w:val="0"/>
      <w:divBdr>
        <w:top w:val="none" w:sz="0" w:space="0" w:color="auto"/>
        <w:left w:val="none" w:sz="0" w:space="0" w:color="auto"/>
        <w:bottom w:val="none" w:sz="0" w:space="0" w:color="auto"/>
        <w:right w:val="none" w:sz="0" w:space="0" w:color="auto"/>
      </w:divBdr>
    </w:div>
    <w:div w:id="1831405360">
      <w:bodyDiv w:val="1"/>
      <w:marLeft w:val="0"/>
      <w:marRight w:val="0"/>
      <w:marTop w:val="0"/>
      <w:marBottom w:val="0"/>
      <w:divBdr>
        <w:top w:val="none" w:sz="0" w:space="0" w:color="auto"/>
        <w:left w:val="none" w:sz="0" w:space="0" w:color="auto"/>
        <w:bottom w:val="none" w:sz="0" w:space="0" w:color="auto"/>
        <w:right w:val="none" w:sz="0" w:space="0" w:color="auto"/>
      </w:divBdr>
    </w:div>
    <w:div w:id="1888294838">
      <w:bodyDiv w:val="1"/>
      <w:marLeft w:val="0"/>
      <w:marRight w:val="0"/>
      <w:marTop w:val="0"/>
      <w:marBottom w:val="0"/>
      <w:divBdr>
        <w:top w:val="none" w:sz="0" w:space="0" w:color="auto"/>
        <w:left w:val="none" w:sz="0" w:space="0" w:color="auto"/>
        <w:bottom w:val="none" w:sz="0" w:space="0" w:color="auto"/>
        <w:right w:val="none" w:sz="0" w:space="0" w:color="auto"/>
      </w:divBdr>
    </w:div>
    <w:div w:id="1925332935">
      <w:bodyDiv w:val="1"/>
      <w:marLeft w:val="0"/>
      <w:marRight w:val="0"/>
      <w:marTop w:val="0"/>
      <w:marBottom w:val="0"/>
      <w:divBdr>
        <w:top w:val="none" w:sz="0" w:space="0" w:color="auto"/>
        <w:left w:val="none" w:sz="0" w:space="0" w:color="auto"/>
        <w:bottom w:val="none" w:sz="0" w:space="0" w:color="auto"/>
        <w:right w:val="none" w:sz="0" w:space="0" w:color="auto"/>
      </w:divBdr>
    </w:div>
    <w:div w:id="2005738371">
      <w:bodyDiv w:val="1"/>
      <w:marLeft w:val="0"/>
      <w:marRight w:val="0"/>
      <w:marTop w:val="0"/>
      <w:marBottom w:val="0"/>
      <w:divBdr>
        <w:top w:val="none" w:sz="0" w:space="0" w:color="auto"/>
        <w:left w:val="none" w:sz="0" w:space="0" w:color="auto"/>
        <w:bottom w:val="none" w:sz="0" w:space="0" w:color="auto"/>
        <w:right w:val="none" w:sz="0" w:space="0" w:color="auto"/>
      </w:divBdr>
    </w:div>
    <w:div w:id="20343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ancashire-pcc.gov.uk/transparency/financial-information/financial-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ancashire-pcc.gov.uk/wp-content/uploads/2026/03/2025-68-Revenue-Budget-and-Council-Tax-2026.27-recommendation-report.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AB2F-658D-476B-BE62-D3FEA848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4753</Words>
  <Characters>27094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Agenda Template</vt:lpstr>
    </vt:vector>
  </TitlesOfParts>
  <Company>One Connect Limited</Company>
  <LinksUpToDate>false</LinksUpToDate>
  <CharactersWithSpaces>31784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bwood003</dc:creator>
  <cp:keywords/>
  <cp:lastModifiedBy>Alston, Luke</cp:lastModifiedBy>
  <cp:revision>2</cp:revision>
  <cp:lastPrinted>2018-03-01T10:16:00Z</cp:lastPrinted>
  <dcterms:created xsi:type="dcterms:W3CDTF">2026-04-02T07:38:00Z</dcterms:created>
  <dcterms:modified xsi:type="dcterms:W3CDTF">2026-04-02T07:38:00Z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Interim Combined Audit Committee</vt:lpwstr>
  </property>
  <property fmtid="{D5CDD505-2E9C-101B-9397-08002B2CF9AE}" pid="3" name="MeetingDateLegal">
    <vt:lpwstr>Monday, 2nd December, 2013</vt:lpwstr>
  </property>
  <property fmtid="{D5CDD505-2E9C-101B-9397-08002B2CF9AE}" pid="4" name="MeetingTime">
    <vt:lpwstr>1.03 pm</vt:lpwstr>
  </property>
  <property fmtid="{D5CDD505-2E9C-101B-9397-08002B2CF9AE}" pid="5" name="MeetingLocation">
    <vt:lpwstr>Cabinet Room C - County Hall</vt:lpwstr>
  </property>
  <property fmtid="{D5CDD505-2E9C-101B-9397-08002B2CF9AE}" pid="6" name="MeetingContact">
    <vt:lpwstr>Mrs Beverly A Wood</vt:lpwstr>
  </property>
  <property fmtid="{D5CDD505-2E9C-101B-9397-08002B2CF9AE}" pid="7" name="MeetingContact_2">
    <vt:lpwstr>01772 533486</vt:lpwstr>
  </property>
  <property fmtid="{D5CDD505-2E9C-101B-9397-08002B2CF9AE}" pid="8" name="MeetingDate">
    <vt:lpwstr>Monday, 2 December 2013</vt:lpwstr>
  </property>
  <property fmtid="{D5CDD505-2E9C-101B-9397-08002B2CF9AE}" pid="9" name="MeetingActualFinishTime">
    <vt:lpwstr>Time Not Specified</vt:lpwstr>
  </property>
  <property fmtid="{D5CDD505-2E9C-101B-9397-08002B2CF9AE}" pid="10" name="Deadline(pubagenda)">
    <vt:lpwstr>Date Not Specified</vt:lpwstr>
  </property>
  <property fmtid="{D5CDD505-2E9C-101B-9397-08002B2CF9AE}" pid="11" name="MembersExpectedShortRepresentingCells">
    <vt:lpwstr> </vt:lpwstr>
  </property>
  <property fmtid="{D5CDD505-2E9C-101B-9397-08002B2CF9AE}" pid="12" name="NextMeetingDate">
    <vt:lpwstr>Date Not Specified</vt:lpwstr>
  </property>
</Properties>
</file>