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F252" w14:textId="77777777" w:rsidR="009F0724" w:rsidRDefault="009F0724" w:rsidP="009F0724">
      <w:pPr>
        <w:pStyle w:val="BodyText"/>
        <w:spacing w:before="270" w:after="120"/>
        <w:rPr>
          <w:rFonts w:cs="Arial"/>
          <w:b/>
          <w:sz w:val="22"/>
          <w:szCs w:val="22"/>
        </w:rPr>
      </w:pPr>
    </w:p>
    <w:p w14:paraId="62C9B78F" w14:textId="5FA8E663" w:rsidR="009F0724" w:rsidRDefault="009F0724" w:rsidP="009F0724">
      <w:pPr>
        <w:spacing w:after="0" w:line="240" w:lineRule="auto"/>
        <w:jc w:val="center"/>
        <w:rPr>
          <w:rFonts w:cs="Arial"/>
          <w:b/>
        </w:rPr>
      </w:pPr>
      <w:r w:rsidRPr="00C63ADB">
        <w:rPr>
          <w:rFonts w:ascii="Times New Roman" w:hAnsi="Times New Roman"/>
          <w:noProof/>
          <w:szCs w:val="24"/>
        </w:rPr>
        <w:drawing>
          <wp:inline distT="0" distB="0" distL="0" distR="0" wp14:anchorId="6D9B4D3D" wp14:editId="79EEFEDD">
            <wp:extent cx="2978150" cy="2953937"/>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81784" cy="2957542"/>
                    </a:xfrm>
                    <a:prstGeom prst="rect">
                      <a:avLst/>
                    </a:prstGeom>
                    <a:noFill/>
                    <a:ln>
                      <a:noFill/>
                    </a:ln>
                  </pic:spPr>
                </pic:pic>
              </a:graphicData>
            </a:graphic>
          </wp:inline>
        </w:drawing>
      </w:r>
    </w:p>
    <w:tbl>
      <w:tblPr>
        <w:tblStyle w:val="TableGrid"/>
        <w:tblpPr w:leftFromText="180" w:rightFromText="180" w:vertAnchor="text" w:horzAnchor="margin" w:tblpY="12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3"/>
      </w:tblGrid>
      <w:tr w:rsidR="009F0724" w:rsidRPr="00580EEF" w14:paraId="7425C5F0" w14:textId="77777777" w:rsidTr="009F0724">
        <w:tc>
          <w:tcPr>
            <w:tcW w:w="10457" w:type="dxa"/>
            <w:shd w:val="clear" w:color="auto" w:fill="D9E2F3" w:themeFill="accent1" w:themeFillTint="33"/>
            <w:vAlign w:val="center"/>
          </w:tcPr>
          <w:p w14:paraId="25BA38E7" w14:textId="27122BE0" w:rsidR="009F0724" w:rsidRPr="00580EEF" w:rsidRDefault="009F0724" w:rsidP="009F0724">
            <w:pPr>
              <w:spacing w:before="270" w:after="180" w:line="240" w:lineRule="auto"/>
              <w:jc w:val="center"/>
              <w:rPr>
                <w:rFonts w:ascii="Arial" w:hAnsi="Arial" w:cs="Arial"/>
                <w:b/>
                <w:sz w:val="40"/>
                <w:szCs w:val="40"/>
                <w:lang w:eastAsia="en-GB"/>
              </w:rPr>
            </w:pPr>
            <w:r>
              <w:rPr>
                <w:rFonts w:ascii="Arial" w:hAnsi="Arial" w:cs="Arial"/>
                <w:b/>
                <w:sz w:val="40"/>
                <w:szCs w:val="40"/>
                <w:lang w:eastAsia="en-GB"/>
              </w:rPr>
              <w:t>Police and Crime Commissioner for Lancashire</w:t>
            </w:r>
          </w:p>
        </w:tc>
      </w:tr>
      <w:tr w:rsidR="009F0724" w:rsidRPr="00580EEF" w14:paraId="716FB091" w14:textId="77777777" w:rsidTr="009F0724">
        <w:tc>
          <w:tcPr>
            <w:tcW w:w="10457" w:type="dxa"/>
            <w:shd w:val="clear" w:color="auto" w:fill="B4C6E7" w:themeFill="accent1" w:themeFillTint="66"/>
            <w:vAlign w:val="center"/>
          </w:tcPr>
          <w:p w14:paraId="1C39D366" w14:textId="77777777" w:rsidR="009F0724" w:rsidRPr="009F0724" w:rsidRDefault="009F0724" w:rsidP="009F0724">
            <w:pPr>
              <w:spacing w:before="270" w:after="180" w:line="240" w:lineRule="auto"/>
              <w:jc w:val="center"/>
              <w:rPr>
                <w:rFonts w:ascii="Arial" w:hAnsi="Arial" w:cs="Arial"/>
                <w:b/>
                <w:sz w:val="72"/>
                <w:szCs w:val="72"/>
                <w:lang w:eastAsia="en-GB"/>
              </w:rPr>
            </w:pPr>
            <w:r w:rsidRPr="009F0724">
              <w:rPr>
                <w:rFonts w:ascii="Arial" w:hAnsi="Arial" w:cs="Arial"/>
                <w:b/>
                <w:sz w:val="72"/>
                <w:szCs w:val="72"/>
                <w:lang w:eastAsia="en-GB"/>
              </w:rPr>
              <w:t>Treasury Management Strategy</w:t>
            </w:r>
          </w:p>
        </w:tc>
      </w:tr>
      <w:tr w:rsidR="009F0724" w:rsidRPr="00580EEF" w14:paraId="708B53A1" w14:textId="77777777" w:rsidTr="009F0724">
        <w:tc>
          <w:tcPr>
            <w:tcW w:w="10457" w:type="dxa"/>
            <w:shd w:val="clear" w:color="auto" w:fill="B4C6E7" w:themeFill="accent1" w:themeFillTint="66"/>
            <w:vAlign w:val="center"/>
          </w:tcPr>
          <w:p w14:paraId="64D59393" w14:textId="0F3A550D" w:rsidR="009F0724" w:rsidRPr="009F0724" w:rsidRDefault="006E4759" w:rsidP="009F0724">
            <w:pPr>
              <w:spacing w:before="270" w:after="180" w:line="240" w:lineRule="auto"/>
              <w:jc w:val="center"/>
              <w:rPr>
                <w:rFonts w:ascii="Arial" w:hAnsi="Arial" w:cs="Arial"/>
                <w:b/>
                <w:sz w:val="72"/>
                <w:szCs w:val="72"/>
                <w:lang w:eastAsia="en-GB"/>
              </w:rPr>
            </w:pPr>
            <w:r>
              <w:rPr>
                <w:rFonts w:ascii="Arial" w:hAnsi="Arial" w:cs="Arial"/>
                <w:b/>
                <w:sz w:val="72"/>
                <w:szCs w:val="72"/>
                <w:lang w:eastAsia="en-GB"/>
              </w:rPr>
              <w:t>2026/27</w:t>
            </w:r>
          </w:p>
        </w:tc>
      </w:tr>
    </w:tbl>
    <w:p w14:paraId="21457C8C" w14:textId="77777777" w:rsidR="009F0724" w:rsidRDefault="009F0724">
      <w:pPr>
        <w:spacing w:after="0" w:line="240" w:lineRule="auto"/>
        <w:rPr>
          <w:rFonts w:cs="Arial"/>
          <w:b/>
        </w:rPr>
      </w:pPr>
    </w:p>
    <w:p w14:paraId="595AEECE" w14:textId="77777777" w:rsidR="009F0724" w:rsidRDefault="009F0724">
      <w:pPr>
        <w:spacing w:after="0" w:line="240" w:lineRule="auto"/>
        <w:rPr>
          <w:rFonts w:cs="Arial"/>
          <w:b/>
        </w:rPr>
      </w:pPr>
    </w:p>
    <w:p w14:paraId="56BDAEA0" w14:textId="77777777" w:rsidR="009F0724" w:rsidRDefault="009F0724">
      <w:pPr>
        <w:spacing w:after="0" w:line="240" w:lineRule="auto"/>
        <w:rPr>
          <w:rFonts w:cs="Arial"/>
          <w:b/>
        </w:rPr>
      </w:pPr>
    </w:p>
    <w:p w14:paraId="683C1863" w14:textId="77777777" w:rsidR="009F0724" w:rsidRDefault="009F0724">
      <w:pPr>
        <w:spacing w:after="0" w:line="240" w:lineRule="auto"/>
        <w:rPr>
          <w:rFonts w:cs="Arial"/>
          <w:b/>
        </w:rPr>
      </w:pPr>
    </w:p>
    <w:p w14:paraId="66DF7FEE" w14:textId="77777777" w:rsidR="009F0724" w:rsidRDefault="009F0724">
      <w:pPr>
        <w:spacing w:after="0" w:line="240" w:lineRule="auto"/>
        <w:rPr>
          <w:rFonts w:cs="Arial"/>
          <w:b/>
        </w:rPr>
      </w:pPr>
    </w:p>
    <w:p w14:paraId="6EF189F0" w14:textId="01C7BE63" w:rsidR="009F0724" w:rsidRDefault="009F0724">
      <w:pPr>
        <w:spacing w:after="0" w:line="240" w:lineRule="auto"/>
        <w:rPr>
          <w:rFonts w:ascii="Arial" w:eastAsia="Times New Roman" w:hAnsi="Arial" w:cs="Arial"/>
          <w:b/>
          <w:lang w:eastAsia="en-GB"/>
        </w:rPr>
      </w:pPr>
      <w:r>
        <w:rPr>
          <w:rFonts w:cs="Arial"/>
          <w:b/>
        </w:rPr>
        <w:br w:type="page"/>
      </w:r>
    </w:p>
    <w:p w14:paraId="6355F663" w14:textId="123DFBCC" w:rsidR="009635C3" w:rsidRPr="001A58ED" w:rsidRDefault="009635C3" w:rsidP="00657C97">
      <w:pPr>
        <w:pStyle w:val="BodyText"/>
        <w:numPr>
          <w:ilvl w:val="0"/>
          <w:numId w:val="4"/>
        </w:numPr>
        <w:spacing w:before="270" w:after="120"/>
        <w:rPr>
          <w:rFonts w:cs="Arial"/>
          <w:b/>
          <w:sz w:val="22"/>
          <w:szCs w:val="22"/>
        </w:rPr>
      </w:pPr>
      <w:r w:rsidRPr="001A58ED">
        <w:rPr>
          <w:rFonts w:cs="Arial"/>
          <w:b/>
          <w:sz w:val="22"/>
          <w:szCs w:val="22"/>
        </w:rPr>
        <w:lastRenderedPageBreak/>
        <w:t>Background</w:t>
      </w:r>
    </w:p>
    <w:p w14:paraId="73DA19DD" w14:textId="77777777" w:rsidR="009635C3" w:rsidRPr="001A58ED" w:rsidRDefault="009635C3" w:rsidP="00657C97">
      <w:pPr>
        <w:pStyle w:val="ListParagraph"/>
        <w:numPr>
          <w:ilvl w:val="1"/>
          <w:numId w:val="4"/>
        </w:numPr>
        <w:tabs>
          <w:tab w:val="num" w:pos="540"/>
        </w:tabs>
        <w:spacing w:after="120" w:line="240" w:lineRule="auto"/>
        <w:contextualSpacing w:val="0"/>
        <w:rPr>
          <w:rFonts w:ascii="Arial" w:hAnsi="Arial" w:cs="Arial"/>
        </w:rPr>
      </w:pPr>
      <w:r w:rsidRPr="001A58ED">
        <w:rPr>
          <w:rFonts w:ascii="Arial" w:hAnsi="Arial" w:cs="Arial"/>
        </w:rPr>
        <w:t>The Local Government Act 2003 (the Act) and supporting Regulations requires the Commissioner to “have regard to” the CIPFA Prudential Code and the CIPFA Treasury Management Code of Practice to set Prudential and Treasury Indicators for the next three years to ensure that the Commissioner’s capital investment plans are affordable, prudent and sustainable. Treasury management is defined in the CIPFA Codes as "The management of the organisation’s borrowing, investments and cash flows, including its banking, money market and capital market transactions, the effective control of the risks associated with those activities and the pursuit of optimum performance consistent with those risks."</w:t>
      </w:r>
    </w:p>
    <w:p w14:paraId="111F34B1" w14:textId="77777777" w:rsidR="009635C3" w:rsidRPr="001A58ED" w:rsidRDefault="009635C3" w:rsidP="00657C97">
      <w:pPr>
        <w:pStyle w:val="ListParagraph"/>
        <w:numPr>
          <w:ilvl w:val="1"/>
          <w:numId w:val="4"/>
        </w:numPr>
        <w:tabs>
          <w:tab w:val="num" w:pos="540"/>
        </w:tabs>
        <w:spacing w:after="120" w:line="240" w:lineRule="auto"/>
        <w:contextualSpacing w:val="0"/>
        <w:rPr>
          <w:rFonts w:ascii="Arial" w:hAnsi="Arial" w:cs="Arial"/>
        </w:rPr>
      </w:pPr>
      <w:r w:rsidRPr="001A58ED">
        <w:rPr>
          <w:rFonts w:ascii="Arial" w:hAnsi="Arial" w:cs="Arial"/>
        </w:rPr>
        <w:t xml:space="preserve">The CIPFA Code includes the recommendation that authorities adopt the following: </w:t>
      </w:r>
    </w:p>
    <w:p w14:paraId="75351216" w14:textId="77777777" w:rsidR="009635C3" w:rsidRPr="001A58ED" w:rsidRDefault="009635C3" w:rsidP="00657C97">
      <w:pPr>
        <w:pStyle w:val="ListParagraph"/>
        <w:numPr>
          <w:ilvl w:val="2"/>
          <w:numId w:val="5"/>
        </w:numPr>
        <w:spacing w:after="120" w:line="240" w:lineRule="auto"/>
        <w:contextualSpacing w:val="0"/>
        <w:rPr>
          <w:rFonts w:ascii="Arial" w:hAnsi="Arial" w:cs="Arial"/>
        </w:rPr>
      </w:pPr>
      <w:r w:rsidRPr="001A58ED">
        <w:rPr>
          <w:rFonts w:ascii="Arial" w:hAnsi="Arial" w:cs="Arial"/>
        </w:rPr>
        <w:t>Creation and maintenance of a Treasury Management Policy Statement which sets out the policies and objectives of the Commissioner’s treasury management activities, the current version is shown at Appendix 1.</w:t>
      </w:r>
    </w:p>
    <w:p w14:paraId="1003C125" w14:textId="77777777" w:rsidR="009635C3" w:rsidRPr="001A58ED" w:rsidRDefault="009635C3" w:rsidP="00657C97">
      <w:pPr>
        <w:pStyle w:val="ListParagraph"/>
        <w:numPr>
          <w:ilvl w:val="2"/>
          <w:numId w:val="5"/>
        </w:numPr>
        <w:spacing w:after="120" w:line="240" w:lineRule="auto"/>
        <w:contextualSpacing w:val="0"/>
        <w:rPr>
          <w:rFonts w:ascii="Arial" w:hAnsi="Arial" w:cs="Arial"/>
        </w:rPr>
      </w:pPr>
      <w:r w:rsidRPr="001A58ED">
        <w:rPr>
          <w:rFonts w:ascii="Arial" w:hAnsi="Arial" w:cs="Arial"/>
        </w:rPr>
        <w:t>Creation and maintenance of Treasury Management Practices which set out the manner in which the Commissioner will seek to achieve those policies and objectives. This is delegated to the Chief Finance Officer.</w:t>
      </w:r>
    </w:p>
    <w:p w14:paraId="7B155253" w14:textId="77777777" w:rsidR="009635C3" w:rsidRPr="001A58ED" w:rsidRDefault="009635C3" w:rsidP="00657C97">
      <w:pPr>
        <w:pStyle w:val="ListParagraph"/>
        <w:numPr>
          <w:ilvl w:val="2"/>
          <w:numId w:val="5"/>
        </w:numPr>
        <w:spacing w:after="120" w:line="240" w:lineRule="auto"/>
        <w:contextualSpacing w:val="0"/>
        <w:rPr>
          <w:rFonts w:ascii="Arial" w:hAnsi="Arial" w:cs="Arial"/>
        </w:rPr>
      </w:pPr>
      <w:r w:rsidRPr="001A58ED">
        <w:rPr>
          <w:rFonts w:ascii="Arial" w:hAnsi="Arial" w:cs="Arial"/>
        </w:rPr>
        <w:t>The production of an annual Treasury Management Strategy Statement - including the Annual Investment Strategy and Minimum Revenue Provision Policy - for the year ahead, a Mid-year Review Report and an Annual Report (stewardship report) covering activities during the previous year.</w:t>
      </w:r>
    </w:p>
    <w:p w14:paraId="7C042898" w14:textId="77777777" w:rsidR="009635C3" w:rsidRPr="001A58ED" w:rsidRDefault="009635C3" w:rsidP="00657C97">
      <w:pPr>
        <w:pStyle w:val="ListParagraph"/>
        <w:numPr>
          <w:ilvl w:val="2"/>
          <w:numId w:val="5"/>
        </w:numPr>
        <w:spacing w:after="120" w:line="240" w:lineRule="auto"/>
        <w:contextualSpacing w:val="0"/>
        <w:rPr>
          <w:rFonts w:ascii="Arial" w:hAnsi="Arial" w:cs="Arial"/>
        </w:rPr>
      </w:pPr>
      <w:r w:rsidRPr="001A58ED">
        <w:rPr>
          <w:rFonts w:ascii="Arial" w:hAnsi="Arial" w:cs="Arial"/>
        </w:rPr>
        <w:t>Delegation by the Commissioner of responsibilities for implementing and monitoring treasury management policies and practices and for the execution and administration of treasury management decisions.</w:t>
      </w:r>
    </w:p>
    <w:p w14:paraId="46964588" w14:textId="02641A2A" w:rsidR="00580EEF" w:rsidRPr="001A58ED" w:rsidRDefault="009635C3" w:rsidP="00657C97">
      <w:pPr>
        <w:pStyle w:val="ListParagraph"/>
        <w:numPr>
          <w:ilvl w:val="1"/>
          <w:numId w:val="4"/>
        </w:numPr>
        <w:tabs>
          <w:tab w:val="num" w:pos="540"/>
        </w:tabs>
        <w:spacing w:after="120" w:line="240" w:lineRule="auto"/>
        <w:contextualSpacing w:val="0"/>
        <w:rPr>
          <w:rFonts w:ascii="Arial" w:hAnsi="Arial" w:cs="Arial"/>
        </w:rPr>
      </w:pPr>
      <w:r w:rsidRPr="001A58ED">
        <w:rPr>
          <w:rFonts w:ascii="Arial" w:hAnsi="Arial" w:cs="Arial"/>
        </w:rPr>
        <w:t xml:space="preserve">The PCC has adopted the Code and also adheres to investment guidance issued by the then Ministry of Housing, Communities and Local Government (MHCLG). In 2018 the MHCLG issued new guidance which widens the definition of investments. For treasury management investments the guidance requires authorities to prioritise security, liquidity and yield in that order of importance. This is consistent with previous guidance. In addition, the guidance definition includes financial and non-financial assets which are held primarily or partially to generate a profit. </w:t>
      </w:r>
    </w:p>
    <w:p w14:paraId="0DF6450E" w14:textId="1024D856" w:rsidR="009635C3" w:rsidRPr="00BE3CD7" w:rsidRDefault="009635C3" w:rsidP="00657C97">
      <w:pPr>
        <w:pStyle w:val="ListParagraph"/>
        <w:numPr>
          <w:ilvl w:val="1"/>
          <w:numId w:val="4"/>
        </w:numPr>
        <w:tabs>
          <w:tab w:val="num" w:pos="540"/>
        </w:tabs>
        <w:spacing w:after="120" w:line="240" w:lineRule="auto"/>
        <w:contextualSpacing w:val="0"/>
        <w:rPr>
          <w:rFonts w:ascii="Arial" w:hAnsi="Arial" w:cs="Arial"/>
        </w:rPr>
      </w:pPr>
      <w:r w:rsidRPr="00BE3CD7">
        <w:rPr>
          <w:rFonts w:ascii="Arial" w:hAnsi="Arial" w:cs="Arial"/>
        </w:rPr>
        <w:t xml:space="preserve">Where an authority holds non treasury investments it is required to produce a separate investment strategy. Although the definition is wide ranging covering loans to third parties, the holding of property to make a profit it is not considered that the PCC hold any such assets and it does not propose to engage in any such investments in </w:t>
      </w:r>
      <w:r w:rsidR="006E4759" w:rsidRPr="00BE3CD7">
        <w:rPr>
          <w:rFonts w:ascii="Arial" w:hAnsi="Arial" w:cs="Arial"/>
        </w:rPr>
        <w:t>2026/27</w:t>
      </w:r>
      <w:r w:rsidRPr="00BE3CD7">
        <w:rPr>
          <w:rFonts w:ascii="Arial" w:hAnsi="Arial" w:cs="Arial"/>
        </w:rPr>
        <w:t xml:space="preserve">. </w:t>
      </w:r>
    </w:p>
    <w:p w14:paraId="3BC3EAF9" w14:textId="77777777" w:rsidR="009635C3" w:rsidRPr="001A58ED" w:rsidRDefault="009635C3" w:rsidP="00657C97">
      <w:pPr>
        <w:pStyle w:val="ListParagraph"/>
        <w:numPr>
          <w:ilvl w:val="1"/>
          <w:numId w:val="4"/>
        </w:numPr>
        <w:tabs>
          <w:tab w:val="num" w:pos="540"/>
        </w:tabs>
        <w:spacing w:after="120" w:line="240" w:lineRule="auto"/>
        <w:contextualSpacing w:val="0"/>
        <w:rPr>
          <w:rFonts w:ascii="Arial" w:hAnsi="Arial" w:cs="Arial"/>
        </w:rPr>
      </w:pPr>
      <w:r w:rsidRPr="001A58ED">
        <w:rPr>
          <w:rFonts w:ascii="Arial" w:hAnsi="Arial" w:cs="Arial"/>
        </w:rPr>
        <w:t>This strategy supports the Commissioner's Medium Term Financial Strategy (MTFS) along with the capital strategy and the reserves strategy.</w:t>
      </w:r>
    </w:p>
    <w:p w14:paraId="661A37D5" w14:textId="637EDC8C" w:rsidR="004D00EE" w:rsidRDefault="009635C3" w:rsidP="00657C97">
      <w:pPr>
        <w:pStyle w:val="ListParagraph"/>
        <w:numPr>
          <w:ilvl w:val="1"/>
          <w:numId w:val="4"/>
        </w:numPr>
        <w:tabs>
          <w:tab w:val="num" w:pos="540"/>
        </w:tabs>
        <w:spacing w:after="120" w:line="240" w:lineRule="auto"/>
        <w:contextualSpacing w:val="0"/>
        <w:rPr>
          <w:rFonts w:ascii="Arial" w:hAnsi="Arial" w:cs="Arial"/>
        </w:rPr>
      </w:pPr>
      <w:r w:rsidRPr="001A58ED">
        <w:rPr>
          <w:rFonts w:ascii="Arial" w:hAnsi="Arial" w:cs="Arial"/>
        </w:rPr>
        <w:t>This report fulfils the Authority’s legal obligation under the Local Government Act 2003 to have regard to both the CIPFA Code and the MHCLG Guidance.</w:t>
      </w:r>
    </w:p>
    <w:p w14:paraId="14DFBFF4" w14:textId="77777777" w:rsidR="004D00EE" w:rsidRDefault="004D00EE">
      <w:pPr>
        <w:spacing w:after="0" w:line="240" w:lineRule="auto"/>
        <w:rPr>
          <w:rFonts w:ascii="Arial" w:hAnsi="Arial" w:cs="Arial"/>
        </w:rPr>
      </w:pPr>
      <w:r>
        <w:rPr>
          <w:rFonts w:ascii="Arial" w:hAnsi="Arial" w:cs="Arial"/>
        </w:rPr>
        <w:br w:type="page"/>
      </w:r>
    </w:p>
    <w:p w14:paraId="6B25F234" w14:textId="60E769C6" w:rsidR="009635C3" w:rsidRPr="001A58ED" w:rsidRDefault="009635C3" w:rsidP="00657C97">
      <w:pPr>
        <w:pStyle w:val="BodyText"/>
        <w:numPr>
          <w:ilvl w:val="0"/>
          <w:numId w:val="4"/>
        </w:numPr>
        <w:spacing w:before="270" w:after="120"/>
        <w:rPr>
          <w:rFonts w:cs="Arial"/>
          <w:b/>
          <w:sz w:val="22"/>
          <w:szCs w:val="22"/>
        </w:rPr>
      </w:pPr>
      <w:r w:rsidRPr="001A58ED">
        <w:rPr>
          <w:rFonts w:cs="Arial"/>
          <w:b/>
          <w:sz w:val="22"/>
          <w:szCs w:val="22"/>
        </w:rPr>
        <w:lastRenderedPageBreak/>
        <w:t xml:space="preserve">Reporting requirements </w:t>
      </w:r>
    </w:p>
    <w:p w14:paraId="29C9B1B9" w14:textId="77777777" w:rsidR="009635C3" w:rsidRPr="001A58ED" w:rsidRDefault="009635C3" w:rsidP="00657C97">
      <w:pPr>
        <w:pStyle w:val="ListParagraph"/>
        <w:numPr>
          <w:ilvl w:val="1"/>
          <w:numId w:val="4"/>
        </w:numPr>
        <w:tabs>
          <w:tab w:val="num" w:pos="540"/>
        </w:tabs>
        <w:spacing w:after="120" w:line="240" w:lineRule="auto"/>
        <w:contextualSpacing w:val="0"/>
        <w:rPr>
          <w:rFonts w:ascii="Arial" w:hAnsi="Arial" w:cs="Arial"/>
        </w:rPr>
      </w:pPr>
      <w:r w:rsidRPr="001A58ED">
        <w:rPr>
          <w:rFonts w:ascii="Arial" w:hAnsi="Arial" w:cs="Arial"/>
        </w:rPr>
        <w:t>The following reporting arrangements will be adopted in accordance with the requirements of the revised Code:</w:t>
      </w:r>
    </w:p>
    <w:tbl>
      <w:tblPr>
        <w:tblW w:w="0" w:type="auto"/>
        <w:tblBorders>
          <w:top w:val="single" w:sz="4" w:space="0" w:color="005B82"/>
          <w:left w:val="single" w:sz="4" w:space="0" w:color="005B82"/>
          <w:bottom w:val="single" w:sz="4" w:space="0" w:color="005B82"/>
          <w:right w:val="single" w:sz="4" w:space="0" w:color="005B82"/>
          <w:insideH w:val="single" w:sz="4" w:space="0" w:color="005B82"/>
          <w:insideV w:val="single" w:sz="4" w:space="0" w:color="005B82"/>
        </w:tblBorders>
        <w:tblLook w:val="01E0" w:firstRow="1" w:lastRow="1" w:firstColumn="1" w:lastColumn="1" w:noHBand="0" w:noVBand="0"/>
      </w:tblPr>
      <w:tblGrid>
        <w:gridCol w:w="4747"/>
        <w:gridCol w:w="2182"/>
        <w:gridCol w:w="2394"/>
      </w:tblGrid>
      <w:tr w:rsidR="009635C3" w:rsidRPr="001A58ED" w14:paraId="268032EA" w14:textId="77777777" w:rsidTr="00837725">
        <w:trPr>
          <w:trHeight w:val="459"/>
        </w:trPr>
        <w:tc>
          <w:tcPr>
            <w:tcW w:w="0" w:type="auto"/>
            <w:vAlign w:val="center"/>
          </w:tcPr>
          <w:p w14:paraId="39B3DCC0" w14:textId="77777777" w:rsidR="009635C3" w:rsidRPr="001A58ED" w:rsidRDefault="009635C3" w:rsidP="00837725">
            <w:pPr>
              <w:numPr>
                <w:ilvl w:val="12"/>
                <w:numId w:val="0"/>
              </w:numPr>
              <w:rPr>
                <w:rFonts w:ascii="Arial" w:hAnsi="Arial" w:cs="Arial"/>
                <w:b/>
                <w:color w:val="000000"/>
              </w:rPr>
            </w:pPr>
            <w:r w:rsidRPr="001A58ED">
              <w:rPr>
                <w:rFonts w:ascii="Arial" w:hAnsi="Arial" w:cs="Arial"/>
                <w:b/>
                <w:color w:val="000000"/>
              </w:rPr>
              <w:t>Area of Responsibility</w:t>
            </w:r>
          </w:p>
        </w:tc>
        <w:tc>
          <w:tcPr>
            <w:tcW w:w="0" w:type="auto"/>
            <w:vAlign w:val="center"/>
          </w:tcPr>
          <w:p w14:paraId="442883B9" w14:textId="77777777" w:rsidR="009635C3" w:rsidRPr="001A58ED" w:rsidRDefault="009635C3" w:rsidP="00837725">
            <w:pPr>
              <w:numPr>
                <w:ilvl w:val="12"/>
                <w:numId w:val="0"/>
              </w:numPr>
              <w:rPr>
                <w:rFonts w:ascii="Arial" w:hAnsi="Arial" w:cs="Arial"/>
                <w:b/>
                <w:color w:val="000000"/>
              </w:rPr>
            </w:pPr>
            <w:r w:rsidRPr="001A58ED">
              <w:rPr>
                <w:rFonts w:ascii="Arial" w:hAnsi="Arial" w:cs="Arial"/>
                <w:b/>
                <w:color w:val="000000"/>
              </w:rPr>
              <w:t>Responsible Officer</w:t>
            </w:r>
          </w:p>
        </w:tc>
        <w:tc>
          <w:tcPr>
            <w:tcW w:w="0" w:type="auto"/>
            <w:vAlign w:val="center"/>
          </w:tcPr>
          <w:p w14:paraId="61521F1B" w14:textId="77777777" w:rsidR="009635C3" w:rsidRPr="001A58ED" w:rsidRDefault="009635C3" w:rsidP="00837725">
            <w:pPr>
              <w:numPr>
                <w:ilvl w:val="12"/>
                <w:numId w:val="0"/>
              </w:numPr>
              <w:rPr>
                <w:rFonts w:ascii="Arial" w:hAnsi="Arial" w:cs="Arial"/>
                <w:b/>
                <w:color w:val="000000"/>
              </w:rPr>
            </w:pPr>
            <w:r w:rsidRPr="001A58ED">
              <w:rPr>
                <w:rFonts w:ascii="Arial" w:hAnsi="Arial" w:cs="Arial"/>
                <w:b/>
                <w:color w:val="000000"/>
              </w:rPr>
              <w:t>Frequency</w:t>
            </w:r>
          </w:p>
        </w:tc>
      </w:tr>
      <w:tr w:rsidR="009635C3" w:rsidRPr="001A58ED" w14:paraId="25694CDE" w14:textId="77777777" w:rsidTr="00837725">
        <w:trPr>
          <w:trHeight w:val="699"/>
        </w:trPr>
        <w:tc>
          <w:tcPr>
            <w:tcW w:w="0" w:type="auto"/>
          </w:tcPr>
          <w:p w14:paraId="1F2E0843"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 xml:space="preserve">Treasury Management Policy Statement </w:t>
            </w:r>
          </w:p>
        </w:tc>
        <w:tc>
          <w:tcPr>
            <w:tcW w:w="0" w:type="auto"/>
            <w:vAlign w:val="center"/>
          </w:tcPr>
          <w:p w14:paraId="43FFB03B"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Police and Crime Commissioner</w:t>
            </w:r>
          </w:p>
          <w:p w14:paraId="4318A29F" w14:textId="77777777" w:rsidR="009635C3" w:rsidRPr="001A58ED" w:rsidRDefault="009635C3" w:rsidP="00837725">
            <w:pPr>
              <w:numPr>
                <w:ilvl w:val="12"/>
                <w:numId w:val="0"/>
              </w:numPr>
              <w:rPr>
                <w:rFonts w:ascii="Arial" w:hAnsi="Arial" w:cs="Arial"/>
                <w:color w:val="000000"/>
              </w:rPr>
            </w:pPr>
          </w:p>
        </w:tc>
        <w:tc>
          <w:tcPr>
            <w:tcW w:w="0" w:type="auto"/>
          </w:tcPr>
          <w:p w14:paraId="232389C7"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Annually before the start of the financial year.</w:t>
            </w:r>
          </w:p>
        </w:tc>
      </w:tr>
      <w:tr w:rsidR="009635C3" w:rsidRPr="001A58ED" w14:paraId="14D42AC4" w14:textId="77777777" w:rsidTr="00837725">
        <w:trPr>
          <w:trHeight w:val="950"/>
        </w:trPr>
        <w:tc>
          <w:tcPr>
            <w:tcW w:w="0" w:type="auto"/>
          </w:tcPr>
          <w:p w14:paraId="53B6B59E"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 xml:space="preserve">Treasury Management Strategy / Annual Investment Strategy / MRP policy </w:t>
            </w:r>
          </w:p>
        </w:tc>
        <w:tc>
          <w:tcPr>
            <w:tcW w:w="0" w:type="auto"/>
            <w:vAlign w:val="center"/>
          </w:tcPr>
          <w:p w14:paraId="2362477E"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Police and Crime Commissioner</w:t>
            </w:r>
          </w:p>
          <w:p w14:paraId="0C5D5F21" w14:textId="77777777" w:rsidR="009635C3" w:rsidRPr="001A58ED" w:rsidRDefault="009635C3" w:rsidP="00837725">
            <w:pPr>
              <w:numPr>
                <w:ilvl w:val="12"/>
                <w:numId w:val="0"/>
              </w:numPr>
              <w:rPr>
                <w:rFonts w:ascii="Arial" w:hAnsi="Arial" w:cs="Arial"/>
                <w:color w:val="000000"/>
              </w:rPr>
            </w:pPr>
          </w:p>
        </w:tc>
        <w:tc>
          <w:tcPr>
            <w:tcW w:w="0" w:type="auto"/>
          </w:tcPr>
          <w:p w14:paraId="75172ADC"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Annually before the start of the financial year</w:t>
            </w:r>
          </w:p>
        </w:tc>
      </w:tr>
      <w:tr w:rsidR="009635C3" w:rsidRPr="001A58ED" w14:paraId="35A35F8C" w14:textId="77777777" w:rsidTr="00837725">
        <w:trPr>
          <w:trHeight w:val="364"/>
        </w:trPr>
        <w:tc>
          <w:tcPr>
            <w:tcW w:w="0" w:type="auto"/>
          </w:tcPr>
          <w:p w14:paraId="2A7969F6"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Mid-year review, scrutiny of performance</w:t>
            </w:r>
          </w:p>
        </w:tc>
        <w:tc>
          <w:tcPr>
            <w:tcW w:w="0" w:type="auto"/>
            <w:vAlign w:val="center"/>
          </w:tcPr>
          <w:p w14:paraId="0EE2C428"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Police and Crime Commissioner</w:t>
            </w:r>
          </w:p>
          <w:p w14:paraId="2C8BF871" w14:textId="77777777" w:rsidR="009635C3" w:rsidRPr="001A58ED" w:rsidRDefault="009635C3" w:rsidP="00837725">
            <w:pPr>
              <w:numPr>
                <w:ilvl w:val="12"/>
                <w:numId w:val="0"/>
              </w:numPr>
              <w:rPr>
                <w:rFonts w:ascii="Arial" w:hAnsi="Arial" w:cs="Arial"/>
                <w:color w:val="000000"/>
              </w:rPr>
            </w:pPr>
          </w:p>
        </w:tc>
        <w:tc>
          <w:tcPr>
            <w:tcW w:w="0" w:type="auto"/>
          </w:tcPr>
          <w:p w14:paraId="10C6CC96"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Mid-year – 6 months</w:t>
            </w:r>
          </w:p>
        </w:tc>
      </w:tr>
      <w:tr w:rsidR="009635C3" w:rsidRPr="001A58ED" w14:paraId="2174D4A8" w14:textId="77777777" w:rsidTr="00837725">
        <w:trPr>
          <w:trHeight w:val="699"/>
        </w:trPr>
        <w:tc>
          <w:tcPr>
            <w:tcW w:w="0" w:type="auto"/>
          </w:tcPr>
          <w:p w14:paraId="57955B85"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 xml:space="preserve">Treasury Management Strategy / Annual Investment Strategy / MRP policy – updates or revisions at other times </w:t>
            </w:r>
          </w:p>
        </w:tc>
        <w:tc>
          <w:tcPr>
            <w:tcW w:w="0" w:type="auto"/>
          </w:tcPr>
          <w:p w14:paraId="17E4D91B"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Police and Crime Commissioner</w:t>
            </w:r>
          </w:p>
          <w:p w14:paraId="4169A7D7" w14:textId="77777777" w:rsidR="009635C3" w:rsidRPr="001A58ED" w:rsidRDefault="009635C3" w:rsidP="00837725">
            <w:pPr>
              <w:numPr>
                <w:ilvl w:val="12"/>
                <w:numId w:val="0"/>
              </w:numPr>
              <w:rPr>
                <w:rFonts w:ascii="Arial" w:hAnsi="Arial" w:cs="Arial"/>
                <w:color w:val="000000"/>
              </w:rPr>
            </w:pPr>
          </w:p>
        </w:tc>
        <w:tc>
          <w:tcPr>
            <w:tcW w:w="0" w:type="auto"/>
          </w:tcPr>
          <w:p w14:paraId="0D58C471"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As required</w:t>
            </w:r>
          </w:p>
        </w:tc>
      </w:tr>
      <w:tr w:rsidR="009635C3" w:rsidRPr="001A58ED" w14:paraId="09B2BBB1" w14:textId="77777777" w:rsidTr="00837725">
        <w:trPr>
          <w:trHeight w:val="711"/>
        </w:trPr>
        <w:tc>
          <w:tcPr>
            <w:tcW w:w="0" w:type="auto"/>
          </w:tcPr>
          <w:p w14:paraId="1A0EEDF3"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Annual Treasury Management Outturn Report</w:t>
            </w:r>
          </w:p>
        </w:tc>
        <w:tc>
          <w:tcPr>
            <w:tcW w:w="0" w:type="auto"/>
            <w:vAlign w:val="center"/>
          </w:tcPr>
          <w:p w14:paraId="49CB509A"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 xml:space="preserve">Police and Crime Commissioner </w:t>
            </w:r>
          </w:p>
        </w:tc>
        <w:tc>
          <w:tcPr>
            <w:tcW w:w="0" w:type="auto"/>
          </w:tcPr>
          <w:p w14:paraId="17E00F2C"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Annually by 30 September</w:t>
            </w:r>
          </w:p>
        </w:tc>
      </w:tr>
      <w:tr w:rsidR="009635C3" w:rsidRPr="001A58ED" w14:paraId="1A642662" w14:textId="77777777" w:rsidTr="00837725">
        <w:trPr>
          <w:trHeight w:val="699"/>
        </w:trPr>
        <w:tc>
          <w:tcPr>
            <w:tcW w:w="0" w:type="auto"/>
          </w:tcPr>
          <w:p w14:paraId="28D72B53"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Treasury Management Monitoring Reports</w:t>
            </w:r>
          </w:p>
        </w:tc>
        <w:tc>
          <w:tcPr>
            <w:tcW w:w="0" w:type="auto"/>
            <w:vAlign w:val="center"/>
          </w:tcPr>
          <w:p w14:paraId="61A5E791"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Chief Finance Officer</w:t>
            </w:r>
          </w:p>
        </w:tc>
        <w:tc>
          <w:tcPr>
            <w:tcW w:w="0" w:type="auto"/>
          </w:tcPr>
          <w:p w14:paraId="34B18C67"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 xml:space="preserve">Quarterly </w:t>
            </w:r>
          </w:p>
        </w:tc>
      </w:tr>
      <w:tr w:rsidR="009635C3" w:rsidRPr="001A58ED" w14:paraId="53C0E61D" w14:textId="77777777" w:rsidTr="00837725">
        <w:trPr>
          <w:trHeight w:val="591"/>
        </w:trPr>
        <w:tc>
          <w:tcPr>
            <w:tcW w:w="0" w:type="auto"/>
          </w:tcPr>
          <w:p w14:paraId="0F2144B6"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Treasury Management Practices</w:t>
            </w:r>
          </w:p>
        </w:tc>
        <w:tc>
          <w:tcPr>
            <w:tcW w:w="0" w:type="auto"/>
            <w:vAlign w:val="center"/>
          </w:tcPr>
          <w:p w14:paraId="0A55BC0F"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Chief Finance Officer</w:t>
            </w:r>
          </w:p>
        </w:tc>
        <w:tc>
          <w:tcPr>
            <w:tcW w:w="0" w:type="auto"/>
          </w:tcPr>
          <w:p w14:paraId="161C38EF" w14:textId="77777777" w:rsidR="009635C3" w:rsidRPr="001A58ED" w:rsidRDefault="009635C3" w:rsidP="00837725">
            <w:pPr>
              <w:numPr>
                <w:ilvl w:val="12"/>
                <w:numId w:val="0"/>
              </w:numPr>
              <w:rPr>
                <w:rFonts w:ascii="Arial" w:hAnsi="Arial" w:cs="Arial"/>
                <w:color w:val="000000"/>
              </w:rPr>
            </w:pPr>
            <w:r w:rsidRPr="001A58ED">
              <w:rPr>
                <w:rFonts w:ascii="Arial" w:hAnsi="Arial" w:cs="Arial"/>
                <w:color w:val="000000"/>
              </w:rPr>
              <w:t>Annually</w:t>
            </w:r>
          </w:p>
        </w:tc>
      </w:tr>
    </w:tbl>
    <w:p w14:paraId="6E83FC66" w14:textId="485CB7AC" w:rsidR="009635C3" w:rsidRPr="001A58ED" w:rsidRDefault="009635C3" w:rsidP="00657C97">
      <w:pPr>
        <w:pStyle w:val="ListParagraph"/>
        <w:numPr>
          <w:ilvl w:val="0"/>
          <w:numId w:val="4"/>
        </w:numPr>
        <w:spacing w:before="400"/>
        <w:jc w:val="both"/>
        <w:rPr>
          <w:rFonts w:ascii="Arial" w:hAnsi="Arial" w:cs="Arial"/>
          <w:b/>
        </w:rPr>
      </w:pPr>
      <w:bookmarkStart w:id="0" w:name="_Hlk87025215"/>
      <w:r w:rsidRPr="001A58ED">
        <w:rPr>
          <w:rFonts w:ascii="Arial" w:hAnsi="Arial" w:cs="Arial"/>
          <w:b/>
        </w:rPr>
        <w:t xml:space="preserve">Treasury Management Strategy for </w:t>
      </w:r>
      <w:r w:rsidR="006E4759">
        <w:rPr>
          <w:rFonts w:ascii="Arial" w:hAnsi="Arial" w:cs="Arial"/>
          <w:b/>
        </w:rPr>
        <w:t>2026/27</w:t>
      </w:r>
    </w:p>
    <w:p w14:paraId="5CDA41F0" w14:textId="77777777" w:rsidR="009635C3" w:rsidRPr="001A58ED" w:rsidRDefault="009635C3" w:rsidP="009635C3">
      <w:pPr>
        <w:pStyle w:val="ListParagraph"/>
        <w:spacing w:before="400"/>
        <w:ind w:left="792"/>
        <w:jc w:val="both"/>
        <w:rPr>
          <w:rFonts w:ascii="Arial" w:hAnsi="Arial" w:cs="Arial"/>
        </w:rPr>
      </w:pPr>
    </w:p>
    <w:p w14:paraId="5876D7E1" w14:textId="0E187F59" w:rsidR="009635C3" w:rsidRPr="001A58ED" w:rsidRDefault="009635C3" w:rsidP="00657C97">
      <w:pPr>
        <w:pStyle w:val="ListParagraph"/>
        <w:numPr>
          <w:ilvl w:val="1"/>
          <w:numId w:val="4"/>
        </w:numPr>
        <w:spacing w:before="400"/>
        <w:jc w:val="both"/>
        <w:rPr>
          <w:rFonts w:ascii="Arial" w:hAnsi="Arial" w:cs="Arial"/>
        </w:rPr>
      </w:pPr>
      <w:r w:rsidRPr="001A58ED">
        <w:rPr>
          <w:rFonts w:ascii="Arial" w:hAnsi="Arial" w:cs="Arial"/>
        </w:rPr>
        <w:t>In setting the Treasury Management Strategy, the following factors have been taken into account; economic forecasts, the level of the approved Capital Programme and the current structure of the Commissioner’s debt portfolio. It covers the following aspects of the Treasury Management function:</w:t>
      </w:r>
    </w:p>
    <w:p w14:paraId="6244B245" w14:textId="77777777" w:rsidR="009635C3" w:rsidRPr="001A58ED" w:rsidRDefault="009635C3" w:rsidP="00657C97">
      <w:pPr>
        <w:pStyle w:val="ListParagraph"/>
        <w:numPr>
          <w:ilvl w:val="2"/>
          <w:numId w:val="5"/>
        </w:numPr>
        <w:spacing w:before="400"/>
        <w:jc w:val="both"/>
        <w:rPr>
          <w:rFonts w:ascii="Arial" w:hAnsi="Arial" w:cs="Arial"/>
        </w:rPr>
      </w:pPr>
      <w:r w:rsidRPr="001A58ED">
        <w:rPr>
          <w:rFonts w:ascii="Arial" w:hAnsi="Arial" w:cs="Arial"/>
        </w:rPr>
        <w:t>Prudential Indicators which will provide a controlling framework for treasury management activities.</w:t>
      </w:r>
    </w:p>
    <w:p w14:paraId="0077F19D" w14:textId="77777777" w:rsidR="009635C3" w:rsidRPr="001A58ED" w:rsidRDefault="009635C3" w:rsidP="00657C97">
      <w:pPr>
        <w:pStyle w:val="ListParagraph"/>
        <w:numPr>
          <w:ilvl w:val="2"/>
          <w:numId w:val="5"/>
        </w:numPr>
        <w:spacing w:before="400"/>
        <w:jc w:val="both"/>
        <w:rPr>
          <w:rFonts w:ascii="Arial" w:hAnsi="Arial" w:cs="Arial"/>
        </w:rPr>
      </w:pPr>
      <w:r w:rsidRPr="001A58ED">
        <w:rPr>
          <w:rFonts w:ascii="Arial" w:hAnsi="Arial" w:cs="Arial"/>
        </w:rPr>
        <w:t>Long-term debt outstanding.</w:t>
      </w:r>
    </w:p>
    <w:p w14:paraId="147CC0C5" w14:textId="77777777" w:rsidR="009635C3" w:rsidRPr="001A58ED" w:rsidRDefault="009635C3" w:rsidP="00657C97">
      <w:pPr>
        <w:pStyle w:val="ListParagraph"/>
        <w:numPr>
          <w:ilvl w:val="2"/>
          <w:numId w:val="5"/>
        </w:numPr>
        <w:spacing w:before="400"/>
        <w:jc w:val="both"/>
        <w:rPr>
          <w:rFonts w:ascii="Arial" w:hAnsi="Arial" w:cs="Arial"/>
        </w:rPr>
      </w:pPr>
      <w:r w:rsidRPr="001A58ED">
        <w:rPr>
          <w:rFonts w:ascii="Arial" w:hAnsi="Arial" w:cs="Arial"/>
        </w:rPr>
        <w:t>Prospects for interest rates.</w:t>
      </w:r>
    </w:p>
    <w:p w14:paraId="10FC09E8" w14:textId="77777777" w:rsidR="009635C3" w:rsidRPr="001A58ED" w:rsidRDefault="009635C3" w:rsidP="00657C97">
      <w:pPr>
        <w:pStyle w:val="ListParagraph"/>
        <w:numPr>
          <w:ilvl w:val="2"/>
          <w:numId w:val="5"/>
        </w:numPr>
        <w:spacing w:before="400"/>
        <w:jc w:val="both"/>
        <w:rPr>
          <w:rFonts w:ascii="Arial" w:hAnsi="Arial" w:cs="Arial"/>
        </w:rPr>
      </w:pPr>
      <w:r w:rsidRPr="001A58ED">
        <w:rPr>
          <w:rFonts w:ascii="Arial" w:hAnsi="Arial" w:cs="Arial"/>
        </w:rPr>
        <w:t>The Borrowing Strategy.</w:t>
      </w:r>
    </w:p>
    <w:p w14:paraId="3014BB13" w14:textId="77777777" w:rsidR="009635C3" w:rsidRPr="001A58ED" w:rsidRDefault="009635C3" w:rsidP="00657C97">
      <w:pPr>
        <w:pStyle w:val="ListParagraph"/>
        <w:numPr>
          <w:ilvl w:val="2"/>
          <w:numId w:val="5"/>
        </w:numPr>
        <w:spacing w:before="400"/>
        <w:jc w:val="both"/>
        <w:rPr>
          <w:rFonts w:ascii="Arial" w:hAnsi="Arial" w:cs="Arial"/>
        </w:rPr>
      </w:pPr>
      <w:r w:rsidRPr="001A58ED">
        <w:rPr>
          <w:rFonts w:ascii="Arial" w:hAnsi="Arial" w:cs="Arial"/>
        </w:rPr>
        <w:t>The Investment Strategy.</w:t>
      </w:r>
    </w:p>
    <w:p w14:paraId="2659830F" w14:textId="77777777" w:rsidR="009635C3" w:rsidRPr="001A58ED" w:rsidRDefault="009635C3" w:rsidP="00657C97">
      <w:pPr>
        <w:pStyle w:val="ListParagraph"/>
        <w:numPr>
          <w:ilvl w:val="2"/>
          <w:numId w:val="5"/>
        </w:numPr>
        <w:spacing w:before="400"/>
        <w:jc w:val="both"/>
        <w:rPr>
          <w:rFonts w:ascii="Arial" w:hAnsi="Arial" w:cs="Arial"/>
        </w:rPr>
      </w:pPr>
      <w:r w:rsidRPr="001A58ED">
        <w:rPr>
          <w:rFonts w:ascii="Arial" w:hAnsi="Arial" w:cs="Arial"/>
        </w:rPr>
        <w:t>Policy on borrowing in advance of need.</w:t>
      </w:r>
    </w:p>
    <w:p w14:paraId="75275841" w14:textId="5E1F2CD2" w:rsidR="00ED40A4" w:rsidRPr="001A58ED" w:rsidRDefault="00ED40A4" w:rsidP="00ED40A4">
      <w:pPr>
        <w:pStyle w:val="ListParagraph"/>
        <w:spacing w:before="400"/>
        <w:ind w:left="0"/>
        <w:contextualSpacing w:val="0"/>
        <w:jc w:val="both"/>
        <w:rPr>
          <w:rFonts w:ascii="Arial" w:hAnsi="Arial" w:cs="Arial"/>
          <w:bCs/>
          <w:i/>
          <w:iCs/>
        </w:rPr>
      </w:pPr>
      <w:r w:rsidRPr="001A58ED">
        <w:rPr>
          <w:rFonts w:ascii="Arial" w:hAnsi="Arial" w:cs="Arial"/>
          <w:b/>
          <w:u w:val="single"/>
        </w:rPr>
        <w:lastRenderedPageBreak/>
        <w:t xml:space="preserve">External Context </w:t>
      </w:r>
    </w:p>
    <w:p w14:paraId="7D195290" w14:textId="77777777" w:rsidR="009635C3" w:rsidRPr="00F34A89" w:rsidRDefault="00ED40A4" w:rsidP="00F34A89">
      <w:pPr>
        <w:pStyle w:val="ListParagraph"/>
        <w:numPr>
          <w:ilvl w:val="0"/>
          <w:numId w:val="4"/>
        </w:numPr>
        <w:spacing w:before="400"/>
        <w:jc w:val="both"/>
        <w:rPr>
          <w:rFonts w:ascii="Arial" w:hAnsi="Arial" w:cs="Arial"/>
          <w:b/>
        </w:rPr>
      </w:pPr>
      <w:r w:rsidRPr="00F34A89">
        <w:rPr>
          <w:rFonts w:ascii="Arial" w:hAnsi="Arial" w:cs="Arial"/>
          <w:b/>
        </w:rPr>
        <w:t xml:space="preserve">Economic background: </w:t>
      </w:r>
    </w:p>
    <w:p w14:paraId="2304CBF5" w14:textId="77777777" w:rsidR="004D00EE" w:rsidRDefault="004D00EE" w:rsidP="004D00EE">
      <w:pPr>
        <w:pStyle w:val="ListParagraph"/>
        <w:spacing w:after="120" w:line="240" w:lineRule="auto"/>
        <w:ind w:left="792"/>
        <w:contextualSpacing w:val="0"/>
        <w:rPr>
          <w:rFonts w:ascii="Arial" w:hAnsi="Arial" w:cs="Arial"/>
        </w:rPr>
      </w:pPr>
      <w:bookmarkStart w:id="1" w:name="_Hlk124413715"/>
    </w:p>
    <w:p w14:paraId="4F814F61" w14:textId="73ABDB31" w:rsidR="009635C3" w:rsidRPr="001A58ED" w:rsidRDefault="009635C3" w:rsidP="00657C97">
      <w:pPr>
        <w:pStyle w:val="ListParagraph"/>
        <w:numPr>
          <w:ilvl w:val="1"/>
          <w:numId w:val="4"/>
        </w:numPr>
        <w:tabs>
          <w:tab w:val="num" w:pos="540"/>
        </w:tabs>
        <w:spacing w:after="120" w:line="240" w:lineRule="auto"/>
        <w:contextualSpacing w:val="0"/>
        <w:rPr>
          <w:rFonts w:ascii="Arial" w:hAnsi="Arial" w:cs="Arial"/>
        </w:rPr>
      </w:pPr>
      <w:r w:rsidRPr="001A58ED">
        <w:rPr>
          <w:rFonts w:ascii="Arial" w:hAnsi="Arial" w:cs="Arial"/>
        </w:rPr>
        <w:t>Key factors to consider in assessing the impact on the Strategy are the expectation for economic growth, inflation and the possible impact on interest rates.</w:t>
      </w:r>
    </w:p>
    <w:bookmarkEnd w:id="1"/>
    <w:p w14:paraId="61B072E3" w14:textId="014FAF76" w:rsidR="009635C3" w:rsidRPr="001A58ED" w:rsidRDefault="00D55A95" w:rsidP="00657C97">
      <w:pPr>
        <w:pStyle w:val="ListParagraph"/>
        <w:numPr>
          <w:ilvl w:val="1"/>
          <w:numId w:val="4"/>
        </w:numPr>
        <w:jc w:val="both"/>
        <w:rPr>
          <w:rFonts w:ascii="Arial" w:hAnsi="Arial" w:cs="Arial"/>
        </w:rPr>
      </w:pPr>
      <w:r w:rsidRPr="00D55A95">
        <w:rPr>
          <w:rFonts w:ascii="Arial" w:hAnsi="Arial" w:cs="Arial"/>
        </w:rPr>
        <w:t>The most significant impacts on the Authority’s treasury management strategy for 2026/27 are expected to include: the influence of the government’s 2025 Autumn Budget, lower short-term interest rates alongside higher medium- and longer-term rates, slower economic growth, together with ongoing uncertainties around the global economy, stock market sentiment, and geopolitical issues.</w:t>
      </w:r>
    </w:p>
    <w:p w14:paraId="50B316DF" w14:textId="77777777" w:rsidR="004D00EE" w:rsidRDefault="004D00EE" w:rsidP="004D00EE">
      <w:pPr>
        <w:pStyle w:val="ListParagraph"/>
        <w:ind w:left="792"/>
        <w:jc w:val="both"/>
        <w:rPr>
          <w:rFonts w:ascii="Arial" w:hAnsi="Arial" w:cs="Arial"/>
        </w:rPr>
      </w:pPr>
    </w:p>
    <w:p w14:paraId="36F3CA70" w14:textId="77777777" w:rsidR="004D00EE" w:rsidRDefault="00D55A95" w:rsidP="00657C97">
      <w:pPr>
        <w:pStyle w:val="ListParagraph"/>
        <w:numPr>
          <w:ilvl w:val="1"/>
          <w:numId w:val="4"/>
        </w:numPr>
        <w:jc w:val="both"/>
        <w:rPr>
          <w:rFonts w:ascii="Arial" w:hAnsi="Arial" w:cs="Arial"/>
        </w:rPr>
      </w:pPr>
      <w:r w:rsidRPr="00D55A95">
        <w:rPr>
          <w:rFonts w:ascii="Arial" w:hAnsi="Arial" w:cs="Arial"/>
        </w:rPr>
        <w:t xml:space="preserve">The Bank of England’s Monetary Policy Committee (MPC) cut Bank Rate to 3.75% in December 2025, as expected. </w:t>
      </w:r>
      <w:r>
        <w:rPr>
          <w:rFonts w:ascii="Arial" w:hAnsi="Arial" w:cs="Arial"/>
        </w:rPr>
        <w:t xml:space="preserve"> Due to the ongoing conflict in the Middle East the MPC voted to maintain interest rates at the same level </w:t>
      </w:r>
      <w:r w:rsidR="006A796B">
        <w:rPr>
          <w:rFonts w:ascii="Arial" w:hAnsi="Arial" w:cs="Arial"/>
        </w:rPr>
        <w:t xml:space="preserve">in March 2026 </w:t>
      </w:r>
      <w:r>
        <w:rPr>
          <w:rFonts w:ascii="Arial" w:hAnsi="Arial" w:cs="Arial"/>
        </w:rPr>
        <w:t>and indicated th</w:t>
      </w:r>
      <w:r w:rsidR="005E639E">
        <w:rPr>
          <w:rFonts w:ascii="Arial" w:hAnsi="Arial" w:cs="Arial"/>
        </w:rPr>
        <w:t xml:space="preserve">ere was now greater uncertainty as to whether any future rate cuts could happen in the </w:t>
      </w:r>
    </w:p>
    <w:p w14:paraId="6A5C56C8" w14:textId="2FD91B29" w:rsidR="00AF34A7" w:rsidRDefault="005E639E" w:rsidP="004D00EE">
      <w:pPr>
        <w:pStyle w:val="ListParagraph"/>
        <w:ind w:left="792"/>
        <w:jc w:val="both"/>
        <w:rPr>
          <w:rFonts w:ascii="Arial" w:hAnsi="Arial" w:cs="Arial"/>
        </w:rPr>
      </w:pPr>
      <w:r>
        <w:rPr>
          <w:rFonts w:ascii="Arial" w:hAnsi="Arial" w:cs="Arial"/>
        </w:rPr>
        <w:t>foreseeable future</w:t>
      </w:r>
      <w:r w:rsidR="006A796B">
        <w:rPr>
          <w:rFonts w:ascii="Arial" w:hAnsi="Arial" w:cs="Arial"/>
        </w:rPr>
        <w:t>.</w:t>
      </w:r>
    </w:p>
    <w:p w14:paraId="09A0FC00" w14:textId="77777777" w:rsidR="004D00EE" w:rsidRPr="001A58ED" w:rsidRDefault="004D00EE" w:rsidP="004D00EE">
      <w:pPr>
        <w:pStyle w:val="ListParagraph"/>
        <w:ind w:left="792"/>
        <w:jc w:val="both"/>
        <w:rPr>
          <w:rFonts w:ascii="Arial" w:hAnsi="Arial" w:cs="Arial"/>
        </w:rPr>
      </w:pPr>
    </w:p>
    <w:p w14:paraId="626DC7C2" w14:textId="7B6C72AF" w:rsidR="009B5EA6" w:rsidRDefault="00AF34A7" w:rsidP="00837725">
      <w:pPr>
        <w:pStyle w:val="ListParagraph"/>
        <w:numPr>
          <w:ilvl w:val="1"/>
          <w:numId w:val="4"/>
        </w:numPr>
        <w:jc w:val="both"/>
        <w:rPr>
          <w:rFonts w:ascii="Arial" w:hAnsi="Arial" w:cs="Arial"/>
        </w:rPr>
      </w:pPr>
      <w:r w:rsidRPr="008F5B8F">
        <w:rPr>
          <w:rFonts w:ascii="Arial" w:hAnsi="Arial" w:cs="Arial"/>
        </w:rPr>
        <w:t xml:space="preserve">The </w:t>
      </w:r>
      <w:r w:rsidR="008F5B8F" w:rsidRPr="008F5B8F">
        <w:rPr>
          <w:rFonts w:ascii="Arial" w:hAnsi="Arial" w:cs="Arial"/>
        </w:rPr>
        <w:t>February</w:t>
      </w:r>
      <w:r w:rsidRPr="008F5B8F">
        <w:rPr>
          <w:rFonts w:ascii="Arial" w:hAnsi="Arial" w:cs="Arial"/>
        </w:rPr>
        <w:t xml:space="preserve"> quarterly Monetary Policy Report (MPR) </w:t>
      </w:r>
      <w:r w:rsidR="008F5B8F" w:rsidRPr="008F5B8F">
        <w:rPr>
          <w:rFonts w:ascii="Arial" w:hAnsi="Arial" w:cs="Arial"/>
        </w:rPr>
        <w:t>showed that underlying UK GDP growth remained below estimates of potential, with Agents’ intelligence pointing to subdued domestic demand. As the labour market continued to loosen, and unemployment increased to just over 5%, the central projection in the February Report incorporated a slightly wider</w:t>
      </w:r>
      <w:r w:rsidR="008F5B8F">
        <w:rPr>
          <w:rFonts w:ascii="Arial" w:hAnsi="Arial" w:cs="Arial"/>
        </w:rPr>
        <w:t xml:space="preserve"> </w:t>
      </w:r>
      <w:r w:rsidR="008F5B8F" w:rsidRPr="008F5B8F">
        <w:rPr>
          <w:rFonts w:ascii="Arial" w:hAnsi="Arial" w:cs="Arial"/>
        </w:rPr>
        <w:t xml:space="preserve">output gap over the forecast period than previously expected in November. </w:t>
      </w:r>
    </w:p>
    <w:p w14:paraId="3FBFD17C" w14:textId="77777777" w:rsidR="004D00EE" w:rsidRDefault="004D00EE" w:rsidP="004D00EE">
      <w:pPr>
        <w:pStyle w:val="ListParagraph"/>
        <w:ind w:left="792"/>
        <w:jc w:val="both"/>
        <w:rPr>
          <w:rFonts w:ascii="Arial" w:hAnsi="Arial" w:cs="Arial"/>
        </w:rPr>
      </w:pPr>
    </w:p>
    <w:p w14:paraId="36F010B7" w14:textId="48C039B5" w:rsidR="005E639E" w:rsidRPr="004D00EE" w:rsidRDefault="005E639E" w:rsidP="00FB42CF">
      <w:pPr>
        <w:pStyle w:val="ListParagraph"/>
        <w:numPr>
          <w:ilvl w:val="1"/>
          <w:numId w:val="4"/>
        </w:numPr>
        <w:jc w:val="both"/>
        <w:rPr>
          <w:rFonts w:ascii="Arial" w:hAnsi="Arial" w:cs="Arial"/>
        </w:rPr>
      </w:pPr>
      <w:r w:rsidRPr="004D00EE">
        <w:rPr>
          <w:rFonts w:ascii="Arial" w:hAnsi="Arial" w:cs="Arial"/>
        </w:rPr>
        <w:t xml:space="preserve">Prior to the escalation in the Middle East, there had been limited change in the UK’s near-term economic outlook. CPI inflation fell to 3.0% in January, down from 3.4% in December 2025. More timely indicators suggested underlying services inflation had edged up, and CPI inflation was expected to remain just above 3% in February. </w:t>
      </w:r>
    </w:p>
    <w:p w14:paraId="32BE1619" w14:textId="77777777" w:rsidR="005E639E" w:rsidRDefault="005E639E" w:rsidP="005E639E">
      <w:pPr>
        <w:pStyle w:val="ListParagraph"/>
        <w:ind w:left="792"/>
        <w:jc w:val="both"/>
        <w:rPr>
          <w:rFonts w:ascii="Arial" w:hAnsi="Arial" w:cs="Arial"/>
        </w:rPr>
      </w:pPr>
      <w:r w:rsidRPr="005E639E">
        <w:rPr>
          <w:rFonts w:ascii="Arial" w:hAnsi="Arial" w:cs="Arial"/>
        </w:rPr>
        <w:t xml:space="preserve">There had been some declines in inflation expectations before these geopolitical disruptions. </w:t>
      </w:r>
    </w:p>
    <w:p w14:paraId="368E8AE7" w14:textId="77777777" w:rsidR="004D00EE" w:rsidRDefault="004D00EE" w:rsidP="005E639E">
      <w:pPr>
        <w:pStyle w:val="ListParagraph"/>
        <w:ind w:left="792"/>
        <w:jc w:val="both"/>
        <w:rPr>
          <w:rFonts w:ascii="Arial" w:hAnsi="Arial" w:cs="Arial"/>
        </w:rPr>
      </w:pPr>
    </w:p>
    <w:p w14:paraId="17DCFF9D" w14:textId="51082E53" w:rsidR="005E639E" w:rsidRDefault="005E639E" w:rsidP="004D00EE">
      <w:pPr>
        <w:pStyle w:val="ListParagraph"/>
        <w:numPr>
          <w:ilvl w:val="1"/>
          <w:numId w:val="4"/>
        </w:numPr>
        <w:jc w:val="both"/>
        <w:rPr>
          <w:rFonts w:ascii="Arial" w:hAnsi="Arial" w:cs="Arial"/>
        </w:rPr>
      </w:pPr>
      <w:r w:rsidRPr="005E639E">
        <w:rPr>
          <w:rFonts w:ascii="Arial" w:hAnsi="Arial" w:cs="Arial"/>
        </w:rPr>
        <w:t xml:space="preserve">However, rising oil and gas prices have materially increased the uncertainty around the inflation outlook and are expected to delay the return to the 2% target. Higher fuel costs are already feeding through, with CPI inflation now projected to reach 3.5%, almost half a percentage point higher than expected in the MPC February report. </w:t>
      </w:r>
    </w:p>
    <w:p w14:paraId="0B29E3D4" w14:textId="77777777" w:rsidR="004D00EE" w:rsidRPr="005E639E" w:rsidRDefault="004D00EE" w:rsidP="004D00EE">
      <w:pPr>
        <w:pStyle w:val="ListParagraph"/>
        <w:ind w:left="792"/>
        <w:jc w:val="both"/>
        <w:rPr>
          <w:rFonts w:ascii="Arial" w:hAnsi="Arial" w:cs="Arial"/>
        </w:rPr>
      </w:pPr>
    </w:p>
    <w:p w14:paraId="0A260D05" w14:textId="3D50155F" w:rsidR="005E639E" w:rsidRPr="008F5B8F" w:rsidRDefault="005E639E" w:rsidP="004D00EE">
      <w:pPr>
        <w:pStyle w:val="ListParagraph"/>
        <w:numPr>
          <w:ilvl w:val="1"/>
          <w:numId w:val="4"/>
        </w:numPr>
        <w:jc w:val="both"/>
        <w:rPr>
          <w:rFonts w:ascii="Arial" w:hAnsi="Arial" w:cs="Arial"/>
        </w:rPr>
      </w:pPr>
      <w:r w:rsidRPr="005E639E">
        <w:rPr>
          <w:rFonts w:ascii="Arial" w:hAnsi="Arial" w:cs="Arial"/>
        </w:rPr>
        <w:t>Looking further ahead, inflation had been expected to fall sharply in Q2 2026 as earlier price increases dropped out of annual comparisons. That decline is now expected to be much more modest, remaining around 3% rather than falling closer to target. Although the Ofgem price cap will stop the immediate rise of household energy bills, if current wholesale conditions persist, they are likely to push the cap higher from July onwards. Based on the oil and gas futures curves, projections suggest the direct contribution of energy prices to CPI inflation in 2026 Q3 would be around ¾ percentage points.</w:t>
      </w:r>
    </w:p>
    <w:p w14:paraId="1EFF1DB8" w14:textId="77777777" w:rsidR="00580EEF" w:rsidRPr="001A58ED" w:rsidRDefault="00580EEF">
      <w:pPr>
        <w:spacing w:after="0" w:line="240" w:lineRule="auto"/>
        <w:rPr>
          <w:rFonts w:ascii="Arial" w:hAnsi="Arial" w:cs="Arial"/>
        </w:rPr>
      </w:pPr>
      <w:r w:rsidRPr="001A58ED">
        <w:rPr>
          <w:rFonts w:ascii="Arial" w:hAnsi="Arial" w:cs="Arial"/>
        </w:rPr>
        <w:br w:type="page"/>
      </w:r>
    </w:p>
    <w:p w14:paraId="7B9BEF6E" w14:textId="09B5050A" w:rsidR="003F2BC3" w:rsidRPr="00F34A89" w:rsidRDefault="003F2BC3" w:rsidP="00F34A89">
      <w:pPr>
        <w:pStyle w:val="ListParagraph"/>
        <w:numPr>
          <w:ilvl w:val="0"/>
          <w:numId w:val="4"/>
        </w:numPr>
        <w:spacing w:before="400"/>
        <w:jc w:val="both"/>
        <w:rPr>
          <w:rFonts w:ascii="Arial" w:hAnsi="Arial" w:cs="Arial"/>
          <w:b/>
        </w:rPr>
      </w:pPr>
      <w:r w:rsidRPr="00F34A89">
        <w:rPr>
          <w:rFonts w:ascii="Arial" w:hAnsi="Arial" w:cs="Arial"/>
          <w:b/>
        </w:rPr>
        <w:lastRenderedPageBreak/>
        <w:t>Arling</w:t>
      </w:r>
      <w:r w:rsidR="009F0724" w:rsidRPr="00F34A89">
        <w:rPr>
          <w:rFonts w:ascii="Arial" w:hAnsi="Arial" w:cs="Arial"/>
          <w:b/>
        </w:rPr>
        <w:t>c</w:t>
      </w:r>
      <w:r w:rsidRPr="00F34A89">
        <w:rPr>
          <w:rFonts w:ascii="Arial" w:hAnsi="Arial" w:cs="Arial"/>
          <w:b/>
        </w:rPr>
        <w:t>lose Forecast</w:t>
      </w:r>
    </w:p>
    <w:p w14:paraId="46F775E4" w14:textId="77777777" w:rsidR="00580EEF" w:rsidRPr="001A58ED" w:rsidRDefault="00580EEF" w:rsidP="00580EEF">
      <w:pPr>
        <w:pStyle w:val="ListParagraph"/>
        <w:ind w:left="360"/>
        <w:jc w:val="both"/>
        <w:rPr>
          <w:rFonts w:ascii="Arial" w:hAnsi="Arial" w:cs="Arial"/>
        </w:rPr>
      </w:pPr>
    </w:p>
    <w:p w14:paraId="148EE442" w14:textId="6151E134" w:rsidR="003A36F9" w:rsidRPr="004D00EE" w:rsidRDefault="004D4285" w:rsidP="00657C97">
      <w:pPr>
        <w:pStyle w:val="ListParagraph"/>
        <w:numPr>
          <w:ilvl w:val="1"/>
          <w:numId w:val="4"/>
        </w:numPr>
        <w:jc w:val="both"/>
        <w:rPr>
          <w:rFonts w:ascii="Arial" w:eastAsia="Trebuchet MS" w:hAnsi="Arial" w:cs="Arial"/>
        </w:rPr>
      </w:pPr>
      <w:r w:rsidRPr="001A58ED">
        <w:rPr>
          <w:rFonts w:ascii="Arial" w:hAnsi="Arial" w:cs="Arial"/>
        </w:rPr>
        <w:t>T</w:t>
      </w:r>
      <w:r w:rsidR="00EF0F48" w:rsidRPr="001A58ED">
        <w:rPr>
          <w:rFonts w:ascii="Arial" w:hAnsi="Arial" w:cs="Arial"/>
        </w:rPr>
        <w:t xml:space="preserve">he Authority’s treasury management adviser Arlingclose forecasts that </w:t>
      </w:r>
      <w:r w:rsidR="005E639E">
        <w:rPr>
          <w:rFonts w:ascii="Arial" w:hAnsi="Arial" w:cs="Arial"/>
        </w:rPr>
        <w:t>due to the current conflict in the Middle E</w:t>
      </w:r>
      <w:r w:rsidR="00F538DC">
        <w:rPr>
          <w:rFonts w:ascii="Arial" w:hAnsi="Arial" w:cs="Arial"/>
        </w:rPr>
        <w:t>a</w:t>
      </w:r>
      <w:r w:rsidR="005E639E">
        <w:rPr>
          <w:rFonts w:ascii="Arial" w:hAnsi="Arial" w:cs="Arial"/>
        </w:rPr>
        <w:t>st</w:t>
      </w:r>
      <w:r w:rsidR="00F538DC">
        <w:rPr>
          <w:rFonts w:ascii="Arial" w:hAnsi="Arial" w:cs="Arial"/>
        </w:rPr>
        <w:t xml:space="preserve"> that is highly uncertain which direction the </w:t>
      </w:r>
      <w:r w:rsidR="00EF0F48" w:rsidRPr="001A58ED">
        <w:rPr>
          <w:rFonts w:ascii="Arial" w:hAnsi="Arial" w:cs="Arial"/>
        </w:rPr>
        <w:t xml:space="preserve">Bank of England’s Monetary Policy Committee </w:t>
      </w:r>
      <w:r w:rsidR="00F538DC">
        <w:rPr>
          <w:rFonts w:ascii="Arial" w:hAnsi="Arial" w:cs="Arial"/>
        </w:rPr>
        <w:t>and is highly dependant on the duration and lasting damage from the conflict in the Middle East.</w:t>
      </w:r>
    </w:p>
    <w:p w14:paraId="2415697A" w14:textId="77777777" w:rsidR="004D00EE" w:rsidRPr="001A58ED" w:rsidRDefault="004D00EE" w:rsidP="004D00EE">
      <w:pPr>
        <w:pStyle w:val="ListParagraph"/>
        <w:ind w:left="792"/>
        <w:jc w:val="both"/>
        <w:rPr>
          <w:rFonts w:ascii="Arial" w:eastAsia="Trebuchet MS" w:hAnsi="Arial" w:cs="Arial"/>
        </w:rPr>
      </w:pPr>
    </w:p>
    <w:p w14:paraId="47418FE2" w14:textId="7B4FAE3E" w:rsidR="00EF0F48" w:rsidRDefault="00EF0F48" w:rsidP="00657C97">
      <w:pPr>
        <w:pStyle w:val="ListParagraph"/>
        <w:numPr>
          <w:ilvl w:val="1"/>
          <w:numId w:val="4"/>
        </w:numPr>
        <w:jc w:val="both"/>
        <w:rPr>
          <w:rFonts w:ascii="Arial" w:eastAsia="Trebuchet MS" w:hAnsi="Arial" w:cs="Arial"/>
        </w:rPr>
      </w:pPr>
      <w:r w:rsidRPr="001A58ED">
        <w:rPr>
          <w:rFonts w:ascii="Arial" w:eastAsia="Trebuchet MS" w:hAnsi="Arial" w:cs="Arial"/>
        </w:rPr>
        <w:t>Arling</w:t>
      </w:r>
      <w:r w:rsidR="009F0724">
        <w:rPr>
          <w:rFonts w:ascii="Arial" w:eastAsia="Trebuchet MS" w:hAnsi="Arial" w:cs="Arial"/>
        </w:rPr>
        <w:t>c</w:t>
      </w:r>
      <w:r w:rsidRPr="001A58ED">
        <w:rPr>
          <w:rFonts w:ascii="Arial" w:eastAsia="Trebuchet MS" w:hAnsi="Arial" w:cs="Arial"/>
        </w:rPr>
        <w:t xml:space="preserve">lose expects long-term gilt yields to </w:t>
      </w:r>
      <w:r w:rsidR="00731632" w:rsidRPr="001A58ED">
        <w:rPr>
          <w:rFonts w:ascii="Arial" w:eastAsia="Trebuchet MS" w:hAnsi="Arial" w:cs="Arial"/>
        </w:rPr>
        <w:t xml:space="preserve">remain </w:t>
      </w:r>
      <w:r w:rsidR="00780AF1" w:rsidRPr="001A58ED">
        <w:rPr>
          <w:rFonts w:ascii="Arial" w:eastAsia="Trebuchet MS" w:hAnsi="Arial" w:cs="Arial"/>
        </w:rPr>
        <w:t xml:space="preserve">broadly at </w:t>
      </w:r>
      <w:r w:rsidRPr="001A58ED">
        <w:rPr>
          <w:rFonts w:ascii="Arial" w:eastAsia="Trebuchet MS" w:hAnsi="Arial" w:cs="Arial"/>
        </w:rPr>
        <w:t xml:space="preserve">current levels </w:t>
      </w:r>
      <w:r w:rsidR="00731632" w:rsidRPr="001A58ED">
        <w:rPr>
          <w:rFonts w:ascii="Arial" w:eastAsia="Trebuchet MS" w:hAnsi="Arial" w:cs="Arial"/>
        </w:rPr>
        <w:t xml:space="preserve">on average </w:t>
      </w:r>
      <w:r w:rsidRPr="001A58ED">
        <w:rPr>
          <w:rFonts w:ascii="Arial" w:eastAsia="Trebuchet MS" w:hAnsi="Arial" w:cs="Arial"/>
        </w:rPr>
        <w:t>(amid continued volatility)</w:t>
      </w:r>
      <w:r w:rsidR="00780AF1" w:rsidRPr="001A58ED">
        <w:rPr>
          <w:rFonts w:ascii="Arial" w:eastAsia="Trebuchet MS" w:hAnsi="Arial" w:cs="Arial"/>
        </w:rPr>
        <w:t xml:space="preserve">, </w:t>
      </w:r>
      <w:r w:rsidR="004B029B" w:rsidRPr="001A58ED">
        <w:rPr>
          <w:rFonts w:ascii="Arial" w:eastAsia="Trebuchet MS" w:hAnsi="Arial" w:cs="Arial"/>
        </w:rPr>
        <w:t xml:space="preserve">but to end the forecast period modestly lower compared to now. </w:t>
      </w:r>
      <w:r w:rsidR="003D602F" w:rsidRPr="001A58ED">
        <w:rPr>
          <w:rFonts w:ascii="Arial" w:eastAsia="Trebuchet MS" w:hAnsi="Arial" w:cs="Arial"/>
        </w:rPr>
        <w:t xml:space="preserve">Yields will continue </w:t>
      </w:r>
      <w:r w:rsidRPr="001A58ED">
        <w:rPr>
          <w:rFonts w:ascii="Arial" w:eastAsia="Trebuchet MS" w:hAnsi="Arial" w:cs="Arial"/>
        </w:rPr>
        <w:t xml:space="preserve">remain relatively higher than in the past, due to quantitative tightening and significant bond supply. As ever, there will be short-term volatility due to economic and </w:t>
      </w:r>
      <w:r w:rsidR="00F66C7F" w:rsidRPr="001A58ED">
        <w:rPr>
          <w:rFonts w:ascii="Arial" w:eastAsia="Trebuchet MS" w:hAnsi="Arial" w:cs="Arial"/>
        </w:rPr>
        <w:t>(geo)</w:t>
      </w:r>
      <w:r w:rsidRPr="001A58ED">
        <w:rPr>
          <w:rFonts w:ascii="Arial" w:eastAsia="Trebuchet MS" w:hAnsi="Arial" w:cs="Arial"/>
        </w:rPr>
        <w:t>political uncertainty and events.</w:t>
      </w:r>
    </w:p>
    <w:p w14:paraId="0214F939" w14:textId="77777777" w:rsidR="004D00EE" w:rsidRPr="004D00EE" w:rsidRDefault="004D00EE" w:rsidP="004D00EE">
      <w:pPr>
        <w:pStyle w:val="ListParagraph"/>
        <w:rPr>
          <w:rFonts w:ascii="Arial" w:eastAsia="Trebuchet MS" w:hAnsi="Arial" w:cs="Arial"/>
        </w:rPr>
      </w:pPr>
    </w:p>
    <w:p w14:paraId="237C6DB1" w14:textId="77777777" w:rsidR="001E5FBF" w:rsidRPr="001A58ED" w:rsidRDefault="001E5FBF" w:rsidP="00657C97">
      <w:pPr>
        <w:pStyle w:val="ListParagraph"/>
        <w:numPr>
          <w:ilvl w:val="1"/>
          <w:numId w:val="4"/>
        </w:numPr>
        <w:contextualSpacing w:val="0"/>
        <w:jc w:val="both"/>
        <w:rPr>
          <w:rFonts w:ascii="Arial" w:hAnsi="Arial" w:cs="Arial"/>
        </w:rPr>
      </w:pPr>
      <w:r w:rsidRPr="001A58ED">
        <w:rPr>
          <w:rFonts w:ascii="Arial" w:hAnsi="Arial" w:cs="Arial"/>
        </w:rPr>
        <w:t>The latest forecast is show in the table below:</w:t>
      </w:r>
    </w:p>
    <w:p w14:paraId="58120439" w14:textId="60842AE6" w:rsidR="00BF463B" w:rsidRPr="001A58ED" w:rsidRDefault="00F538DC" w:rsidP="001E5FBF">
      <w:pPr>
        <w:pStyle w:val="ListParagraph"/>
        <w:ind w:left="792"/>
        <w:contextualSpacing w:val="0"/>
        <w:jc w:val="both"/>
        <w:rPr>
          <w:rFonts w:ascii="Arial" w:hAnsi="Arial" w:cs="Arial"/>
        </w:rPr>
      </w:pPr>
      <w:r w:rsidRPr="006D5969">
        <w:rPr>
          <w:rFonts w:ascii="Trebuchet MS" w:hAnsi="Trebuchet MS"/>
          <w:noProof/>
          <w:sz w:val="20"/>
          <w:szCs w:val="20"/>
        </w:rPr>
        <w:drawing>
          <wp:inline distT="0" distB="0" distL="0" distR="0" wp14:anchorId="496E9ABD" wp14:editId="33330EB1">
            <wp:extent cx="5714216" cy="3119438"/>
            <wp:effectExtent l="0" t="0" r="1270" b="5080"/>
            <wp:docPr id="3" name="Picture 2">
              <a:extLst xmlns:a="http://schemas.openxmlformats.org/drawingml/2006/main">
                <a:ext uri="{FF2B5EF4-FFF2-40B4-BE49-F238E27FC236}">
                  <a16:creationId xmlns:a16="http://schemas.microsoft.com/office/drawing/2014/main" id="{DBCADC43-5474-619C-01F0-570E4637B8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DBCADC43-5474-619C-01F0-570E4637B8DF}"/>
                        </a:ext>
                      </a:extLst>
                    </pic:cNvPr>
                    <pic:cNvPicPr>
                      <a:picLocks noChangeAspect="1"/>
                    </pic:cNvPicPr>
                  </pic:nvPicPr>
                  <pic:blipFill>
                    <a:blip r:embed="rId12"/>
                    <a:stretch>
                      <a:fillRect/>
                    </a:stretch>
                  </pic:blipFill>
                  <pic:spPr>
                    <a:xfrm>
                      <a:off x="0" y="0"/>
                      <a:ext cx="5722462" cy="3123939"/>
                    </a:xfrm>
                    <a:prstGeom prst="rect">
                      <a:avLst/>
                    </a:prstGeom>
                  </pic:spPr>
                </pic:pic>
              </a:graphicData>
            </a:graphic>
          </wp:inline>
        </w:drawing>
      </w:r>
    </w:p>
    <w:p w14:paraId="23A244DC" w14:textId="2F1FEE66" w:rsidR="001E5FBF" w:rsidRPr="001A58ED" w:rsidRDefault="001E5FBF" w:rsidP="00657C97">
      <w:pPr>
        <w:pStyle w:val="ListParagraph"/>
        <w:numPr>
          <w:ilvl w:val="1"/>
          <w:numId w:val="4"/>
        </w:numPr>
        <w:spacing w:before="400"/>
        <w:jc w:val="both"/>
        <w:rPr>
          <w:rFonts w:ascii="Arial" w:hAnsi="Arial" w:cs="Arial"/>
          <w:b/>
          <w:u w:val="single"/>
        </w:rPr>
      </w:pPr>
      <w:r w:rsidRPr="001A58ED">
        <w:rPr>
          <w:rFonts w:ascii="Arial" w:hAnsi="Arial" w:cs="Arial"/>
        </w:rPr>
        <w:t xml:space="preserve">In the above table ‘Official Bank Rate’ refers to the policy rate of the Bank of England. PWLB borrowing rates are based on ‘Gilt Yield’ and so this is a forecast of long-term interest rates. </w:t>
      </w:r>
      <w:bookmarkEnd w:id="0"/>
    </w:p>
    <w:p w14:paraId="0AC5849B" w14:textId="77777777" w:rsidR="00580EEF" w:rsidRPr="001A58ED" w:rsidRDefault="00580EEF">
      <w:pPr>
        <w:spacing w:after="0" w:line="240" w:lineRule="auto"/>
        <w:rPr>
          <w:rFonts w:ascii="Arial" w:hAnsi="Arial" w:cs="Arial"/>
          <w:b/>
          <w:u w:val="single"/>
        </w:rPr>
      </w:pPr>
      <w:r w:rsidRPr="001A58ED">
        <w:rPr>
          <w:rFonts w:ascii="Arial" w:hAnsi="Arial" w:cs="Arial"/>
          <w:b/>
          <w:u w:val="single"/>
        </w:rPr>
        <w:br w:type="page"/>
      </w:r>
    </w:p>
    <w:p w14:paraId="620F8B26" w14:textId="4E64C424" w:rsidR="004363C9" w:rsidRPr="001A58ED" w:rsidRDefault="003F2BC3" w:rsidP="001E5FBF">
      <w:pPr>
        <w:pStyle w:val="ListParagraph"/>
        <w:spacing w:before="400"/>
        <w:ind w:left="0"/>
        <w:contextualSpacing w:val="0"/>
        <w:jc w:val="both"/>
        <w:rPr>
          <w:rFonts w:ascii="Arial" w:hAnsi="Arial" w:cs="Arial"/>
          <w:b/>
          <w:u w:val="single"/>
        </w:rPr>
      </w:pPr>
      <w:r w:rsidRPr="001A58ED">
        <w:rPr>
          <w:rFonts w:ascii="Arial" w:hAnsi="Arial" w:cs="Arial"/>
          <w:b/>
          <w:u w:val="single"/>
        </w:rPr>
        <w:lastRenderedPageBreak/>
        <w:t>Current Position</w:t>
      </w:r>
    </w:p>
    <w:p w14:paraId="5CEDD789" w14:textId="5B1D12F4" w:rsidR="003F2BC3" w:rsidRPr="00F34A89" w:rsidRDefault="003F2BC3" w:rsidP="00F34A89">
      <w:pPr>
        <w:pStyle w:val="ListParagraph"/>
        <w:numPr>
          <w:ilvl w:val="0"/>
          <w:numId w:val="4"/>
        </w:numPr>
        <w:spacing w:before="400"/>
        <w:jc w:val="both"/>
        <w:rPr>
          <w:rFonts w:ascii="Arial" w:hAnsi="Arial" w:cs="Arial"/>
          <w:b/>
        </w:rPr>
      </w:pPr>
      <w:r w:rsidRPr="00F34A89">
        <w:rPr>
          <w:rFonts w:ascii="Arial" w:hAnsi="Arial" w:cs="Arial"/>
          <w:b/>
        </w:rPr>
        <w:t>Current Treasury Portfolio Position</w:t>
      </w:r>
    </w:p>
    <w:p w14:paraId="10F9816D" w14:textId="77777777" w:rsidR="003F2BC3" w:rsidRPr="007E0B1D" w:rsidRDefault="003F2BC3" w:rsidP="003F2BC3">
      <w:pPr>
        <w:pStyle w:val="ListParagraph"/>
        <w:ind w:left="360"/>
        <w:jc w:val="both"/>
        <w:rPr>
          <w:rFonts w:ascii="Arial" w:hAnsi="Arial" w:cs="Arial"/>
          <w:sz w:val="12"/>
          <w:szCs w:val="12"/>
        </w:rPr>
      </w:pPr>
    </w:p>
    <w:p w14:paraId="273BF7E7" w14:textId="7DBA0326" w:rsidR="00C8791E" w:rsidRPr="001A58ED" w:rsidRDefault="00C8791E" w:rsidP="00657C97">
      <w:pPr>
        <w:pStyle w:val="ListParagraph"/>
        <w:numPr>
          <w:ilvl w:val="1"/>
          <w:numId w:val="4"/>
        </w:numPr>
        <w:jc w:val="both"/>
        <w:rPr>
          <w:rFonts w:ascii="Arial" w:hAnsi="Arial" w:cs="Arial"/>
        </w:rPr>
      </w:pPr>
      <w:r w:rsidRPr="001A58ED">
        <w:rPr>
          <w:rFonts w:ascii="Arial" w:hAnsi="Arial" w:cs="Arial"/>
        </w:rPr>
        <w:t>The value of the Commissioner’s Treasury Portfolio as at 2</w:t>
      </w:r>
      <w:r w:rsidR="00BE3CD7">
        <w:rPr>
          <w:rFonts w:ascii="Arial" w:hAnsi="Arial" w:cs="Arial"/>
        </w:rPr>
        <w:t>4</w:t>
      </w:r>
      <w:r w:rsidRPr="001A58ED">
        <w:rPr>
          <w:rFonts w:ascii="Arial" w:hAnsi="Arial" w:cs="Arial"/>
        </w:rPr>
        <w:t>.</w:t>
      </w:r>
      <w:r w:rsidR="00BE3CD7">
        <w:rPr>
          <w:rFonts w:ascii="Arial" w:hAnsi="Arial" w:cs="Arial"/>
        </w:rPr>
        <w:t>3</w:t>
      </w:r>
      <w:r w:rsidRPr="001A58ED">
        <w:rPr>
          <w:rFonts w:ascii="Arial" w:hAnsi="Arial" w:cs="Arial"/>
        </w:rPr>
        <w:t>.202</w:t>
      </w:r>
      <w:r w:rsidR="00BE3CD7">
        <w:rPr>
          <w:rFonts w:ascii="Arial" w:hAnsi="Arial" w:cs="Arial"/>
        </w:rPr>
        <w:t>6</w:t>
      </w:r>
      <w:r w:rsidRPr="001A58ED">
        <w:rPr>
          <w:rFonts w:ascii="Arial" w:hAnsi="Arial" w:cs="Arial"/>
        </w:rPr>
        <w:t xml:space="preserve"> is:</w:t>
      </w:r>
    </w:p>
    <w:tbl>
      <w:tblPr>
        <w:tblW w:w="0" w:type="auto"/>
        <w:jc w:val="center"/>
        <w:tblCellMar>
          <w:left w:w="0" w:type="dxa"/>
          <w:right w:w="0" w:type="dxa"/>
        </w:tblCellMar>
        <w:tblLook w:val="04A0" w:firstRow="1" w:lastRow="0" w:firstColumn="1" w:lastColumn="0" w:noHBand="0" w:noVBand="1"/>
      </w:tblPr>
      <w:tblGrid>
        <w:gridCol w:w="5807"/>
        <w:gridCol w:w="1418"/>
      </w:tblGrid>
      <w:tr w:rsidR="00C8791E" w:rsidRPr="001A58ED" w14:paraId="52D16DB3" w14:textId="77777777" w:rsidTr="00837725">
        <w:trPr>
          <w:trHeight w:val="297"/>
          <w:jc w:val="center"/>
        </w:trPr>
        <w:tc>
          <w:tcPr>
            <w:tcW w:w="5807" w:type="dxa"/>
            <w:tcBorders>
              <w:top w:val="single" w:sz="4" w:space="0" w:color="auto"/>
              <w:left w:val="single" w:sz="4" w:space="0" w:color="auto"/>
              <w:bottom w:val="single" w:sz="4" w:space="0" w:color="auto"/>
              <w:right w:val="single" w:sz="4" w:space="0" w:color="auto"/>
            </w:tcBorders>
            <w:hideMark/>
          </w:tcPr>
          <w:p w14:paraId="0C6CB46A" w14:textId="77777777" w:rsidR="00C8791E" w:rsidRPr="001A58ED" w:rsidRDefault="00C8791E" w:rsidP="00C8791E">
            <w:pPr>
              <w:spacing w:after="0" w:line="240" w:lineRule="auto"/>
              <w:ind w:left="57" w:right="57"/>
              <w:rPr>
                <w:rFonts w:ascii="Arial" w:eastAsia="Times New Roman" w:hAnsi="Arial" w:cs="Arial"/>
                <w:b/>
                <w:bCs/>
                <w:color w:val="000000"/>
                <w:lang w:eastAsia="en-GB"/>
              </w:rPr>
            </w:pPr>
          </w:p>
        </w:tc>
        <w:tc>
          <w:tcPr>
            <w:tcW w:w="1418" w:type="dxa"/>
            <w:tcBorders>
              <w:top w:val="single" w:sz="4" w:space="0" w:color="auto"/>
              <w:left w:val="single" w:sz="4" w:space="0" w:color="auto"/>
              <w:bottom w:val="single" w:sz="4" w:space="0" w:color="auto"/>
              <w:right w:val="single" w:sz="4" w:space="0" w:color="auto"/>
            </w:tcBorders>
            <w:hideMark/>
          </w:tcPr>
          <w:p w14:paraId="4151F8A3" w14:textId="77777777" w:rsidR="00C8791E" w:rsidRPr="001A58ED" w:rsidRDefault="00C8791E" w:rsidP="00C8791E">
            <w:pPr>
              <w:spacing w:after="0" w:line="240" w:lineRule="auto"/>
              <w:ind w:left="57" w:right="57"/>
              <w:jc w:val="center"/>
              <w:rPr>
                <w:rFonts w:ascii="Arial" w:eastAsia="Times New Roman" w:hAnsi="Arial" w:cs="Arial"/>
                <w:b/>
                <w:bCs/>
                <w:color w:val="000000"/>
                <w:lang w:eastAsia="en-GB"/>
              </w:rPr>
            </w:pPr>
            <w:r w:rsidRPr="001A58ED">
              <w:rPr>
                <w:rFonts w:ascii="Arial" w:eastAsia="Times New Roman" w:hAnsi="Arial" w:cs="Arial"/>
                <w:b/>
                <w:bCs/>
                <w:color w:val="000000"/>
                <w:lang w:eastAsia="en-GB"/>
              </w:rPr>
              <w:t>Principal</w:t>
            </w:r>
          </w:p>
          <w:p w14:paraId="00BC4C8D" w14:textId="77777777" w:rsidR="00C8791E" w:rsidRPr="001A58ED" w:rsidRDefault="00C8791E" w:rsidP="00C8791E">
            <w:pPr>
              <w:spacing w:after="0" w:line="240" w:lineRule="auto"/>
              <w:ind w:left="57" w:right="57"/>
              <w:jc w:val="center"/>
              <w:rPr>
                <w:rFonts w:ascii="Arial" w:eastAsia="Times New Roman" w:hAnsi="Arial" w:cs="Arial"/>
                <w:b/>
                <w:bCs/>
                <w:color w:val="000000"/>
                <w:lang w:eastAsia="en-GB"/>
              </w:rPr>
            </w:pPr>
            <w:r w:rsidRPr="001A58ED">
              <w:rPr>
                <w:rFonts w:ascii="Arial" w:eastAsia="Times New Roman" w:hAnsi="Arial" w:cs="Arial"/>
                <w:b/>
                <w:bCs/>
                <w:color w:val="000000"/>
                <w:lang w:eastAsia="en-GB"/>
              </w:rPr>
              <w:t>£m</w:t>
            </w:r>
          </w:p>
        </w:tc>
      </w:tr>
      <w:tr w:rsidR="00C8791E" w:rsidRPr="001A58ED" w14:paraId="59A48B33" w14:textId="77777777" w:rsidTr="00837725">
        <w:trPr>
          <w:trHeight w:val="310"/>
          <w:jc w:val="center"/>
        </w:trPr>
        <w:tc>
          <w:tcPr>
            <w:tcW w:w="5807" w:type="dxa"/>
            <w:tcBorders>
              <w:top w:val="single" w:sz="4" w:space="0" w:color="auto"/>
              <w:left w:val="single" w:sz="4" w:space="0" w:color="auto"/>
              <w:bottom w:val="single" w:sz="4" w:space="0" w:color="auto"/>
              <w:right w:val="single" w:sz="4" w:space="0" w:color="auto"/>
            </w:tcBorders>
            <w:vAlign w:val="center"/>
          </w:tcPr>
          <w:p w14:paraId="476A59E0" w14:textId="77777777" w:rsidR="00C8791E" w:rsidRPr="001A58ED" w:rsidRDefault="00C8791E" w:rsidP="00C8791E">
            <w:pPr>
              <w:spacing w:after="0" w:line="240" w:lineRule="auto"/>
              <w:ind w:left="57" w:right="57"/>
              <w:rPr>
                <w:rFonts w:ascii="Arial" w:eastAsia="Times New Roman" w:hAnsi="Arial" w:cs="Arial"/>
                <w:color w:val="000000"/>
                <w:lang w:eastAsia="en-GB"/>
              </w:rPr>
            </w:pPr>
            <w:r w:rsidRPr="001A58ED">
              <w:rPr>
                <w:rFonts w:ascii="Arial" w:eastAsia="Times New Roman" w:hAnsi="Arial" w:cs="Arial"/>
                <w:b/>
                <w:bCs/>
                <w:color w:val="000000"/>
                <w:lang w:eastAsia="en-GB"/>
              </w:rPr>
              <w:t>DEBT</w:t>
            </w:r>
          </w:p>
        </w:tc>
        <w:tc>
          <w:tcPr>
            <w:tcW w:w="1418" w:type="dxa"/>
            <w:tcBorders>
              <w:top w:val="single" w:sz="4" w:space="0" w:color="auto"/>
              <w:left w:val="single" w:sz="4" w:space="0" w:color="auto"/>
              <w:bottom w:val="single" w:sz="4" w:space="0" w:color="auto"/>
              <w:right w:val="single" w:sz="4" w:space="0" w:color="auto"/>
            </w:tcBorders>
            <w:vAlign w:val="center"/>
          </w:tcPr>
          <w:p w14:paraId="5606B041" w14:textId="77777777" w:rsidR="00C8791E" w:rsidRPr="001A58ED" w:rsidRDefault="00C8791E" w:rsidP="00C8791E">
            <w:pPr>
              <w:spacing w:after="0" w:line="240" w:lineRule="auto"/>
              <w:ind w:left="57" w:right="57"/>
              <w:jc w:val="right"/>
              <w:rPr>
                <w:rFonts w:ascii="Arial" w:eastAsia="Times New Roman" w:hAnsi="Arial" w:cs="Arial"/>
                <w:color w:val="000000"/>
                <w:lang w:eastAsia="en-GB"/>
              </w:rPr>
            </w:pPr>
          </w:p>
        </w:tc>
      </w:tr>
      <w:tr w:rsidR="00C8791E" w:rsidRPr="001A58ED" w14:paraId="59BA2B01" w14:textId="77777777" w:rsidTr="00837725">
        <w:trPr>
          <w:trHeight w:val="310"/>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14:paraId="187CF859" w14:textId="77777777" w:rsidR="00C8791E" w:rsidRPr="001A58ED" w:rsidRDefault="00C8791E" w:rsidP="00C8791E">
            <w:pPr>
              <w:spacing w:after="0" w:line="240" w:lineRule="auto"/>
              <w:ind w:left="57" w:right="57"/>
              <w:rPr>
                <w:rFonts w:ascii="Arial" w:eastAsia="Times New Roman" w:hAnsi="Arial" w:cs="Arial"/>
                <w:color w:val="000000"/>
                <w:lang w:eastAsia="en-GB"/>
              </w:rPr>
            </w:pPr>
            <w:r w:rsidRPr="001A58ED">
              <w:rPr>
                <w:rFonts w:ascii="Arial" w:eastAsia="Times New Roman" w:hAnsi="Arial" w:cs="Arial"/>
                <w:color w:val="000000"/>
                <w:lang w:eastAsia="en-GB"/>
              </w:rPr>
              <w:t>Fixed rate loans from PWLB</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50397D" w14:textId="2ED75EC6" w:rsidR="00C8791E" w:rsidRPr="001A58ED" w:rsidRDefault="00BE3CD7" w:rsidP="00C8791E">
            <w:pPr>
              <w:spacing w:after="0" w:line="240" w:lineRule="auto"/>
              <w:ind w:left="57" w:right="57"/>
              <w:jc w:val="right"/>
              <w:rPr>
                <w:rFonts w:ascii="Arial" w:eastAsia="Times New Roman" w:hAnsi="Arial" w:cs="Arial"/>
                <w:color w:val="000000"/>
                <w:lang w:eastAsia="en-GB"/>
              </w:rPr>
            </w:pPr>
            <w:r>
              <w:rPr>
                <w:rFonts w:ascii="Arial" w:eastAsia="Times New Roman" w:hAnsi="Arial" w:cs="Arial"/>
                <w:color w:val="000000"/>
                <w:lang w:eastAsia="en-GB"/>
              </w:rPr>
              <w:t>59</w:t>
            </w:r>
            <w:r w:rsidR="00533ACC" w:rsidRPr="001A58ED">
              <w:rPr>
                <w:rFonts w:ascii="Arial" w:eastAsia="Times New Roman" w:hAnsi="Arial" w:cs="Arial"/>
                <w:color w:val="000000"/>
                <w:lang w:eastAsia="en-GB"/>
              </w:rPr>
              <w:t>.4</w:t>
            </w:r>
            <w:r>
              <w:rPr>
                <w:rFonts w:ascii="Arial" w:eastAsia="Times New Roman" w:hAnsi="Arial" w:cs="Arial"/>
                <w:color w:val="000000"/>
                <w:lang w:eastAsia="en-GB"/>
              </w:rPr>
              <w:t>13</w:t>
            </w:r>
          </w:p>
        </w:tc>
      </w:tr>
      <w:tr w:rsidR="00C8791E" w:rsidRPr="001A58ED" w14:paraId="74440A4B" w14:textId="77777777" w:rsidTr="00837725">
        <w:trPr>
          <w:trHeight w:val="310"/>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14:paraId="5610A0DA" w14:textId="77777777" w:rsidR="00C8791E" w:rsidRPr="001A58ED" w:rsidRDefault="00C8791E" w:rsidP="00C8791E">
            <w:pPr>
              <w:spacing w:after="0" w:line="240" w:lineRule="auto"/>
              <w:ind w:left="57" w:right="57"/>
              <w:rPr>
                <w:rFonts w:ascii="Arial" w:eastAsia="Times New Roman" w:hAnsi="Arial" w:cs="Arial"/>
                <w:color w:val="000000"/>
                <w:lang w:eastAsia="en-GB"/>
              </w:rPr>
            </w:pPr>
            <w:r w:rsidRPr="001A58ED">
              <w:rPr>
                <w:rFonts w:ascii="Arial" w:eastAsia="Times New Roman" w:hAnsi="Arial" w:cs="Arial"/>
                <w:color w:val="000000"/>
                <w:lang w:eastAsia="en-GB"/>
              </w:rPr>
              <w:t>Fixed term loans from other local authorities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F79CB7" w14:textId="303BB45F" w:rsidR="00C8791E" w:rsidRPr="001A58ED" w:rsidRDefault="00BE3CD7" w:rsidP="00C8791E">
            <w:pPr>
              <w:spacing w:after="0" w:line="240" w:lineRule="auto"/>
              <w:ind w:left="57" w:right="57"/>
              <w:jc w:val="right"/>
              <w:rPr>
                <w:rFonts w:ascii="Arial" w:eastAsia="Times New Roman" w:hAnsi="Arial" w:cs="Arial"/>
                <w:color w:val="000000"/>
                <w:lang w:eastAsia="en-GB"/>
              </w:rPr>
            </w:pPr>
            <w:r>
              <w:rPr>
                <w:rFonts w:ascii="Arial" w:eastAsia="Times New Roman" w:hAnsi="Arial" w:cs="Arial"/>
                <w:color w:val="000000"/>
                <w:lang w:eastAsia="en-GB"/>
              </w:rPr>
              <w:t>6</w:t>
            </w:r>
            <w:r w:rsidR="00C8791E" w:rsidRPr="001A58ED">
              <w:rPr>
                <w:rFonts w:ascii="Arial" w:eastAsia="Times New Roman" w:hAnsi="Arial" w:cs="Arial"/>
                <w:color w:val="000000"/>
                <w:lang w:eastAsia="en-GB"/>
              </w:rPr>
              <w:t>5.000</w:t>
            </w:r>
          </w:p>
        </w:tc>
      </w:tr>
      <w:tr w:rsidR="00C8791E" w:rsidRPr="001A58ED" w14:paraId="61D107E7" w14:textId="77777777" w:rsidTr="00837725">
        <w:trPr>
          <w:trHeight w:val="310"/>
          <w:jc w:val="center"/>
        </w:trPr>
        <w:tc>
          <w:tcPr>
            <w:tcW w:w="5807" w:type="dxa"/>
            <w:tcBorders>
              <w:top w:val="single" w:sz="4" w:space="0" w:color="auto"/>
              <w:left w:val="single" w:sz="4" w:space="0" w:color="auto"/>
              <w:bottom w:val="single" w:sz="4" w:space="0" w:color="auto"/>
              <w:right w:val="single" w:sz="4" w:space="0" w:color="auto"/>
            </w:tcBorders>
            <w:vAlign w:val="center"/>
            <w:hideMark/>
          </w:tcPr>
          <w:p w14:paraId="714BDC13" w14:textId="77777777" w:rsidR="00C8791E" w:rsidRPr="001A58ED" w:rsidRDefault="00C8791E" w:rsidP="00C8791E">
            <w:pPr>
              <w:spacing w:after="0" w:line="240" w:lineRule="auto"/>
              <w:ind w:left="57" w:right="57"/>
              <w:rPr>
                <w:rFonts w:ascii="Arial" w:eastAsia="Times New Roman" w:hAnsi="Arial" w:cs="Arial"/>
                <w:b/>
                <w:bCs/>
                <w:color w:val="000000"/>
                <w:lang w:eastAsia="en-GB"/>
              </w:rPr>
            </w:pPr>
            <w:r w:rsidRPr="001A58ED">
              <w:rPr>
                <w:rFonts w:ascii="Arial" w:eastAsia="Times New Roman" w:hAnsi="Arial" w:cs="Arial"/>
                <w:b/>
                <w:bCs/>
                <w:color w:val="000000"/>
                <w:lang w:eastAsia="en-GB"/>
              </w:rPr>
              <w:t>Total debt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46B66C" w14:textId="151A5CC0" w:rsidR="00C8791E" w:rsidRPr="001A58ED" w:rsidRDefault="00BE3CD7" w:rsidP="00C8791E">
            <w:pPr>
              <w:spacing w:after="0" w:line="240" w:lineRule="auto"/>
              <w:ind w:left="57" w:right="57"/>
              <w:jc w:val="right"/>
              <w:rPr>
                <w:rFonts w:ascii="Arial" w:eastAsia="Times New Roman" w:hAnsi="Arial" w:cs="Arial"/>
                <w:b/>
                <w:bCs/>
                <w:color w:val="000000"/>
                <w:lang w:eastAsia="en-GB"/>
              </w:rPr>
            </w:pPr>
            <w:r>
              <w:rPr>
                <w:rFonts w:ascii="Arial" w:eastAsia="Times New Roman" w:hAnsi="Arial" w:cs="Arial"/>
                <w:b/>
                <w:bCs/>
                <w:color w:val="000000"/>
                <w:lang w:eastAsia="en-GB"/>
              </w:rPr>
              <w:t>124</w:t>
            </w:r>
            <w:r w:rsidR="00533ACC" w:rsidRPr="001A58ED">
              <w:rPr>
                <w:rFonts w:ascii="Arial" w:eastAsia="Times New Roman" w:hAnsi="Arial" w:cs="Arial"/>
                <w:b/>
                <w:bCs/>
                <w:color w:val="000000"/>
                <w:lang w:eastAsia="en-GB"/>
              </w:rPr>
              <w:t>.4</w:t>
            </w:r>
            <w:r>
              <w:rPr>
                <w:rFonts w:ascii="Arial" w:eastAsia="Times New Roman" w:hAnsi="Arial" w:cs="Arial"/>
                <w:b/>
                <w:bCs/>
                <w:color w:val="000000"/>
                <w:lang w:eastAsia="en-GB"/>
              </w:rPr>
              <w:t>13</w:t>
            </w:r>
          </w:p>
        </w:tc>
      </w:tr>
      <w:tr w:rsidR="00C8791E" w:rsidRPr="001A58ED" w14:paraId="6270829E" w14:textId="77777777" w:rsidTr="00837725">
        <w:trPr>
          <w:trHeight w:val="70"/>
          <w:jc w:val="center"/>
        </w:trPr>
        <w:tc>
          <w:tcPr>
            <w:tcW w:w="5807" w:type="dxa"/>
            <w:tcBorders>
              <w:top w:val="single" w:sz="4" w:space="0" w:color="auto"/>
              <w:left w:val="single" w:sz="4" w:space="0" w:color="auto"/>
              <w:bottom w:val="single" w:sz="4" w:space="0" w:color="auto"/>
              <w:right w:val="single" w:sz="4" w:space="0" w:color="auto"/>
            </w:tcBorders>
            <w:noWrap/>
            <w:vAlign w:val="bottom"/>
            <w:hideMark/>
          </w:tcPr>
          <w:p w14:paraId="2B290B60" w14:textId="77777777" w:rsidR="00C8791E" w:rsidRPr="001A58ED" w:rsidRDefault="00C8791E" w:rsidP="00C8791E">
            <w:pPr>
              <w:spacing w:after="0" w:line="240" w:lineRule="auto"/>
              <w:ind w:left="57" w:right="57"/>
              <w:rPr>
                <w:rFonts w:ascii="Arial" w:eastAsia="Times New Roman" w:hAnsi="Arial" w:cs="Arial"/>
                <w:b/>
                <w:bCs/>
                <w:color w:val="000000"/>
                <w:highlight w:val="yellow"/>
                <w:lang w:eastAsia="en-GB"/>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60A62F46" w14:textId="77777777" w:rsidR="00C8791E" w:rsidRPr="001A58ED" w:rsidRDefault="00C8791E" w:rsidP="00C8791E">
            <w:pPr>
              <w:spacing w:after="0" w:line="240" w:lineRule="auto"/>
              <w:ind w:left="57" w:right="57"/>
              <w:jc w:val="right"/>
              <w:rPr>
                <w:rFonts w:ascii="Arial" w:eastAsia="Times New Roman" w:hAnsi="Arial" w:cs="Arial"/>
                <w:highlight w:val="yellow"/>
                <w:lang w:eastAsia="en-GB"/>
              </w:rPr>
            </w:pPr>
          </w:p>
        </w:tc>
      </w:tr>
      <w:tr w:rsidR="00C8791E" w:rsidRPr="001A58ED" w14:paraId="182608DA" w14:textId="77777777" w:rsidTr="00837725">
        <w:trPr>
          <w:trHeight w:val="310"/>
          <w:jc w:val="center"/>
        </w:trPr>
        <w:tc>
          <w:tcPr>
            <w:tcW w:w="5807" w:type="dxa"/>
            <w:tcBorders>
              <w:top w:val="single" w:sz="4" w:space="0" w:color="auto"/>
              <w:left w:val="single" w:sz="4" w:space="0" w:color="auto"/>
              <w:bottom w:val="single" w:sz="4" w:space="0" w:color="auto"/>
              <w:right w:val="single" w:sz="4" w:space="0" w:color="auto"/>
            </w:tcBorders>
            <w:noWrap/>
            <w:vAlign w:val="center"/>
            <w:hideMark/>
          </w:tcPr>
          <w:p w14:paraId="114FE0B6" w14:textId="77777777" w:rsidR="00C8791E" w:rsidRPr="001A58ED" w:rsidRDefault="00C8791E" w:rsidP="00C8791E">
            <w:pPr>
              <w:spacing w:after="0" w:line="240" w:lineRule="auto"/>
              <w:ind w:left="57" w:right="57"/>
              <w:rPr>
                <w:rFonts w:ascii="Arial" w:eastAsia="Times New Roman" w:hAnsi="Arial" w:cs="Arial"/>
                <w:b/>
                <w:bCs/>
                <w:color w:val="000000"/>
                <w:lang w:eastAsia="en-GB"/>
              </w:rPr>
            </w:pPr>
            <w:r w:rsidRPr="001A58ED">
              <w:rPr>
                <w:rFonts w:ascii="Arial" w:eastAsia="Times New Roman" w:hAnsi="Arial" w:cs="Arial"/>
                <w:b/>
                <w:bCs/>
                <w:color w:val="000000"/>
                <w:lang w:eastAsia="en-GB"/>
              </w:rPr>
              <w:t>INVESTMENTS</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06C5C84" w14:textId="77777777" w:rsidR="00C8791E" w:rsidRPr="001A58ED" w:rsidRDefault="00C8791E" w:rsidP="00C8791E">
            <w:pPr>
              <w:spacing w:after="0" w:line="240" w:lineRule="auto"/>
              <w:ind w:left="57" w:right="57"/>
              <w:jc w:val="right"/>
              <w:rPr>
                <w:rFonts w:ascii="Arial" w:eastAsia="Times New Roman" w:hAnsi="Arial" w:cs="Arial"/>
                <w:b/>
                <w:bCs/>
                <w:color w:val="000000"/>
                <w:lang w:eastAsia="en-GB"/>
              </w:rPr>
            </w:pPr>
          </w:p>
        </w:tc>
      </w:tr>
      <w:tr w:rsidR="00C8791E" w:rsidRPr="001A58ED" w14:paraId="12566B2F" w14:textId="77777777" w:rsidTr="00837725">
        <w:trPr>
          <w:trHeight w:val="310"/>
          <w:jc w:val="center"/>
        </w:trPr>
        <w:tc>
          <w:tcPr>
            <w:tcW w:w="5807" w:type="dxa"/>
            <w:tcBorders>
              <w:top w:val="single" w:sz="4" w:space="0" w:color="auto"/>
              <w:left w:val="single" w:sz="4" w:space="0" w:color="auto"/>
              <w:bottom w:val="single" w:sz="4" w:space="0" w:color="auto"/>
              <w:right w:val="single" w:sz="4" w:space="0" w:color="auto"/>
            </w:tcBorders>
            <w:noWrap/>
            <w:vAlign w:val="center"/>
            <w:hideMark/>
          </w:tcPr>
          <w:p w14:paraId="062E3EF5" w14:textId="183D9AA9" w:rsidR="00C8791E" w:rsidRPr="001A58ED" w:rsidRDefault="00C8791E" w:rsidP="00C8791E">
            <w:pPr>
              <w:spacing w:after="0" w:line="240" w:lineRule="auto"/>
              <w:ind w:left="57" w:right="57"/>
              <w:rPr>
                <w:rFonts w:ascii="Arial" w:eastAsia="Times New Roman" w:hAnsi="Arial" w:cs="Arial"/>
                <w:color w:val="000000"/>
                <w:lang w:eastAsia="en-GB"/>
              </w:rPr>
            </w:pPr>
            <w:r w:rsidRPr="001A58ED">
              <w:rPr>
                <w:rFonts w:ascii="Arial" w:eastAsia="Times New Roman" w:hAnsi="Arial" w:cs="Arial"/>
                <w:color w:val="000000"/>
                <w:lang w:eastAsia="en-GB"/>
              </w:rPr>
              <w:t>Variable rate investments with th</w:t>
            </w:r>
            <w:r w:rsidR="00533ACC" w:rsidRPr="001A58ED">
              <w:rPr>
                <w:rFonts w:ascii="Arial" w:eastAsia="Times New Roman" w:hAnsi="Arial" w:cs="Arial"/>
                <w:color w:val="000000"/>
                <w:lang w:eastAsia="en-GB"/>
              </w:rPr>
              <w:t>e DMADF</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31F37A" w14:textId="6688CAC3" w:rsidR="00C8791E" w:rsidRPr="001A58ED" w:rsidRDefault="00BE3CD7" w:rsidP="00C8791E">
            <w:pPr>
              <w:spacing w:after="0" w:line="240" w:lineRule="auto"/>
              <w:ind w:left="57" w:right="57"/>
              <w:jc w:val="right"/>
              <w:rPr>
                <w:rFonts w:ascii="Arial" w:eastAsia="Times New Roman" w:hAnsi="Arial" w:cs="Arial"/>
                <w:color w:val="000000"/>
                <w:lang w:eastAsia="en-GB"/>
              </w:rPr>
            </w:pPr>
            <w:r>
              <w:rPr>
                <w:rFonts w:ascii="Arial" w:eastAsia="Times New Roman" w:hAnsi="Arial" w:cs="Arial"/>
                <w:color w:val="000000"/>
                <w:lang w:eastAsia="en-GB"/>
              </w:rPr>
              <w:t>52.785</w:t>
            </w:r>
          </w:p>
        </w:tc>
      </w:tr>
      <w:tr w:rsidR="00533ACC" w:rsidRPr="001A58ED" w14:paraId="03322A89" w14:textId="77777777" w:rsidTr="00837725">
        <w:trPr>
          <w:trHeight w:val="310"/>
          <w:jc w:val="center"/>
        </w:trPr>
        <w:tc>
          <w:tcPr>
            <w:tcW w:w="5807" w:type="dxa"/>
            <w:tcBorders>
              <w:top w:val="single" w:sz="4" w:space="0" w:color="auto"/>
              <w:left w:val="single" w:sz="4" w:space="0" w:color="auto"/>
              <w:bottom w:val="single" w:sz="4" w:space="0" w:color="auto"/>
              <w:right w:val="single" w:sz="4" w:space="0" w:color="auto"/>
            </w:tcBorders>
            <w:noWrap/>
            <w:vAlign w:val="bottom"/>
          </w:tcPr>
          <w:p w14:paraId="34515811" w14:textId="4A190AFC" w:rsidR="00533ACC" w:rsidRPr="001A58ED" w:rsidRDefault="00533ACC" w:rsidP="00C8791E">
            <w:pPr>
              <w:spacing w:after="0" w:line="240" w:lineRule="auto"/>
              <w:ind w:left="57" w:right="57"/>
              <w:rPr>
                <w:rFonts w:ascii="Arial" w:eastAsia="Times New Roman" w:hAnsi="Arial" w:cs="Arial"/>
                <w:color w:val="000000"/>
                <w:lang w:eastAsia="en-GB"/>
              </w:rPr>
            </w:pPr>
            <w:r w:rsidRPr="001A58ED">
              <w:rPr>
                <w:rFonts w:ascii="Arial" w:eastAsia="Times New Roman" w:hAnsi="Arial" w:cs="Arial"/>
                <w:color w:val="000000"/>
                <w:lang w:eastAsia="en-GB"/>
              </w:rPr>
              <w:t>Variable Rate investments with other local authorities</w:t>
            </w:r>
          </w:p>
        </w:tc>
        <w:tc>
          <w:tcPr>
            <w:tcW w:w="1418" w:type="dxa"/>
            <w:tcBorders>
              <w:top w:val="single" w:sz="4" w:space="0" w:color="auto"/>
              <w:left w:val="single" w:sz="4" w:space="0" w:color="auto"/>
              <w:bottom w:val="single" w:sz="4" w:space="0" w:color="auto"/>
              <w:right w:val="single" w:sz="4" w:space="0" w:color="auto"/>
            </w:tcBorders>
            <w:vAlign w:val="center"/>
          </w:tcPr>
          <w:p w14:paraId="2FAC61D6" w14:textId="2F64F3FD" w:rsidR="00533ACC" w:rsidRPr="001A58ED" w:rsidRDefault="00BE3CD7" w:rsidP="00C8791E">
            <w:pPr>
              <w:spacing w:after="0" w:line="240" w:lineRule="auto"/>
              <w:ind w:left="57" w:right="57"/>
              <w:jc w:val="right"/>
              <w:rPr>
                <w:rFonts w:ascii="Arial" w:eastAsia="Times New Roman" w:hAnsi="Arial" w:cs="Arial"/>
                <w:color w:val="000000"/>
                <w:lang w:eastAsia="en-GB"/>
              </w:rPr>
            </w:pPr>
            <w:r>
              <w:rPr>
                <w:rFonts w:ascii="Arial" w:eastAsia="Times New Roman" w:hAnsi="Arial" w:cs="Arial"/>
                <w:color w:val="000000"/>
                <w:lang w:eastAsia="en-GB"/>
              </w:rPr>
              <w:t>1</w:t>
            </w:r>
            <w:r w:rsidR="00533ACC" w:rsidRPr="001A58ED">
              <w:rPr>
                <w:rFonts w:ascii="Arial" w:eastAsia="Times New Roman" w:hAnsi="Arial" w:cs="Arial"/>
                <w:color w:val="000000"/>
                <w:lang w:eastAsia="en-GB"/>
              </w:rPr>
              <w:t>5.000</w:t>
            </w:r>
          </w:p>
        </w:tc>
      </w:tr>
      <w:tr w:rsidR="00945B69" w:rsidRPr="001A58ED" w14:paraId="152AAB3D" w14:textId="77777777" w:rsidTr="00837725">
        <w:trPr>
          <w:trHeight w:val="310"/>
          <w:jc w:val="center"/>
        </w:trPr>
        <w:tc>
          <w:tcPr>
            <w:tcW w:w="5807" w:type="dxa"/>
            <w:tcBorders>
              <w:top w:val="single" w:sz="4" w:space="0" w:color="auto"/>
              <w:left w:val="single" w:sz="4" w:space="0" w:color="auto"/>
              <w:bottom w:val="single" w:sz="4" w:space="0" w:color="auto"/>
              <w:right w:val="single" w:sz="4" w:space="0" w:color="auto"/>
            </w:tcBorders>
            <w:noWrap/>
            <w:vAlign w:val="bottom"/>
          </w:tcPr>
          <w:p w14:paraId="67A55796" w14:textId="34777CEF" w:rsidR="00945B69" w:rsidRPr="001A58ED" w:rsidRDefault="00945B69" w:rsidP="00C8791E">
            <w:pPr>
              <w:spacing w:after="0" w:line="240" w:lineRule="auto"/>
              <w:ind w:left="57" w:right="57"/>
              <w:rPr>
                <w:rFonts w:ascii="Arial" w:eastAsia="Times New Roman" w:hAnsi="Arial" w:cs="Arial"/>
                <w:color w:val="000000"/>
                <w:lang w:eastAsia="en-GB"/>
              </w:rPr>
            </w:pPr>
            <w:r>
              <w:rPr>
                <w:rFonts w:ascii="Arial" w:eastAsia="Times New Roman" w:hAnsi="Arial" w:cs="Arial"/>
                <w:color w:val="000000"/>
                <w:lang w:eastAsia="en-GB"/>
              </w:rPr>
              <w:t xml:space="preserve">Call Account </w:t>
            </w:r>
          </w:p>
        </w:tc>
        <w:tc>
          <w:tcPr>
            <w:tcW w:w="1418" w:type="dxa"/>
            <w:tcBorders>
              <w:top w:val="single" w:sz="4" w:space="0" w:color="auto"/>
              <w:left w:val="single" w:sz="4" w:space="0" w:color="auto"/>
              <w:bottom w:val="single" w:sz="4" w:space="0" w:color="auto"/>
              <w:right w:val="single" w:sz="4" w:space="0" w:color="auto"/>
            </w:tcBorders>
            <w:vAlign w:val="center"/>
          </w:tcPr>
          <w:p w14:paraId="4D1E0ECD" w14:textId="32C8CCC5" w:rsidR="00945B69" w:rsidRDefault="00945B69" w:rsidP="00C8791E">
            <w:pPr>
              <w:spacing w:after="0" w:line="240" w:lineRule="auto"/>
              <w:ind w:left="57" w:right="57"/>
              <w:jc w:val="right"/>
              <w:rPr>
                <w:rFonts w:ascii="Arial" w:eastAsia="Times New Roman" w:hAnsi="Arial" w:cs="Arial"/>
                <w:color w:val="000000"/>
                <w:lang w:eastAsia="en-GB"/>
              </w:rPr>
            </w:pPr>
            <w:r>
              <w:rPr>
                <w:rFonts w:ascii="Arial" w:eastAsia="Times New Roman" w:hAnsi="Arial" w:cs="Arial"/>
                <w:color w:val="000000"/>
                <w:lang w:eastAsia="en-GB"/>
              </w:rPr>
              <w:t>2.000</w:t>
            </w:r>
          </w:p>
        </w:tc>
      </w:tr>
      <w:tr w:rsidR="00C8791E" w:rsidRPr="001A58ED" w14:paraId="25DCC6E1" w14:textId="77777777" w:rsidTr="00837725">
        <w:trPr>
          <w:trHeight w:val="310"/>
          <w:jc w:val="center"/>
        </w:trPr>
        <w:tc>
          <w:tcPr>
            <w:tcW w:w="5807" w:type="dxa"/>
            <w:tcBorders>
              <w:top w:val="single" w:sz="4" w:space="0" w:color="auto"/>
              <w:left w:val="single" w:sz="4" w:space="0" w:color="auto"/>
              <w:bottom w:val="single" w:sz="4" w:space="0" w:color="auto"/>
              <w:right w:val="single" w:sz="4" w:space="0" w:color="auto"/>
            </w:tcBorders>
            <w:noWrap/>
            <w:vAlign w:val="bottom"/>
            <w:hideMark/>
          </w:tcPr>
          <w:p w14:paraId="185AB814" w14:textId="77777777" w:rsidR="00C8791E" w:rsidRPr="001A58ED" w:rsidRDefault="00C8791E" w:rsidP="00C8791E">
            <w:pPr>
              <w:spacing w:after="0" w:line="240" w:lineRule="auto"/>
              <w:ind w:left="57" w:right="57"/>
              <w:rPr>
                <w:rFonts w:ascii="Arial" w:eastAsia="Times New Roman" w:hAnsi="Arial" w:cs="Arial"/>
                <w:b/>
                <w:bCs/>
                <w:color w:val="000000"/>
                <w:lang w:eastAsia="en-GB"/>
              </w:rPr>
            </w:pPr>
            <w:r w:rsidRPr="001A58ED">
              <w:rPr>
                <w:rFonts w:ascii="Arial" w:eastAsia="Times New Roman" w:hAnsi="Arial" w:cs="Arial"/>
                <w:b/>
                <w:bCs/>
                <w:color w:val="000000"/>
                <w:lang w:eastAsia="en-GB"/>
              </w:rPr>
              <w:t>Total investments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B548E1C" w14:textId="1463A787" w:rsidR="00C8791E" w:rsidRPr="001A58ED" w:rsidRDefault="00BE3CD7" w:rsidP="00C8791E">
            <w:pPr>
              <w:spacing w:after="0" w:line="240" w:lineRule="auto"/>
              <w:ind w:left="57" w:right="57"/>
              <w:jc w:val="right"/>
              <w:rPr>
                <w:rFonts w:ascii="Arial" w:eastAsia="Times New Roman" w:hAnsi="Arial" w:cs="Arial"/>
                <w:b/>
                <w:bCs/>
                <w:color w:val="000000"/>
                <w:lang w:eastAsia="en-GB"/>
              </w:rPr>
            </w:pPr>
            <w:r>
              <w:rPr>
                <w:rFonts w:ascii="Arial" w:eastAsia="Times New Roman" w:hAnsi="Arial" w:cs="Arial"/>
                <w:b/>
                <w:bCs/>
                <w:color w:val="000000"/>
                <w:lang w:eastAsia="en-GB"/>
              </w:rPr>
              <w:t>6</w:t>
            </w:r>
            <w:r w:rsidR="00945B69">
              <w:rPr>
                <w:rFonts w:ascii="Arial" w:eastAsia="Times New Roman" w:hAnsi="Arial" w:cs="Arial"/>
                <w:b/>
                <w:bCs/>
                <w:color w:val="000000"/>
                <w:lang w:eastAsia="en-GB"/>
              </w:rPr>
              <w:t>9</w:t>
            </w:r>
            <w:r>
              <w:rPr>
                <w:rFonts w:ascii="Arial" w:eastAsia="Times New Roman" w:hAnsi="Arial" w:cs="Arial"/>
                <w:b/>
                <w:bCs/>
                <w:color w:val="000000"/>
                <w:lang w:eastAsia="en-GB"/>
              </w:rPr>
              <w:t>.785</w:t>
            </w:r>
          </w:p>
        </w:tc>
      </w:tr>
      <w:tr w:rsidR="00C8791E" w:rsidRPr="001A58ED" w14:paraId="63784B4F" w14:textId="77777777" w:rsidTr="00446D0B">
        <w:trPr>
          <w:trHeight w:val="70"/>
          <w:jc w:val="center"/>
        </w:trPr>
        <w:tc>
          <w:tcPr>
            <w:tcW w:w="5807" w:type="dxa"/>
            <w:tcBorders>
              <w:top w:val="single" w:sz="4" w:space="0" w:color="auto"/>
              <w:left w:val="single" w:sz="4" w:space="0" w:color="auto"/>
              <w:bottom w:val="single" w:sz="4" w:space="0" w:color="auto"/>
              <w:right w:val="single" w:sz="4" w:space="0" w:color="auto"/>
            </w:tcBorders>
            <w:noWrap/>
            <w:vAlign w:val="bottom"/>
          </w:tcPr>
          <w:p w14:paraId="21C65F36" w14:textId="77777777" w:rsidR="00C8791E" w:rsidRPr="00446D0B" w:rsidRDefault="00C8791E" w:rsidP="00C8791E">
            <w:pPr>
              <w:spacing w:after="0" w:line="240" w:lineRule="auto"/>
              <w:ind w:left="57" w:right="57"/>
              <w:rPr>
                <w:rFonts w:ascii="Arial" w:eastAsia="Times New Roman" w:hAnsi="Arial" w:cs="Arial"/>
                <w:color w:val="000000"/>
                <w:sz w:val="2"/>
                <w:szCs w:val="2"/>
                <w:lang w:eastAsia="en-GB"/>
              </w:rPr>
            </w:pPr>
          </w:p>
        </w:tc>
        <w:tc>
          <w:tcPr>
            <w:tcW w:w="1418" w:type="dxa"/>
            <w:tcBorders>
              <w:top w:val="single" w:sz="4" w:space="0" w:color="auto"/>
              <w:left w:val="single" w:sz="4" w:space="0" w:color="auto"/>
              <w:bottom w:val="single" w:sz="4" w:space="0" w:color="auto"/>
              <w:right w:val="single" w:sz="4" w:space="0" w:color="auto"/>
            </w:tcBorders>
            <w:vAlign w:val="center"/>
          </w:tcPr>
          <w:p w14:paraId="523F5A4E" w14:textId="77777777" w:rsidR="00C8791E" w:rsidRPr="00446D0B" w:rsidRDefault="00C8791E" w:rsidP="00C8791E">
            <w:pPr>
              <w:spacing w:after="0" w:line="240" w:lineRule="auto"/>
              <w:ind w:left="57" w:right="57"/>
              <w:jc w:val="right"/>
              <w:rPr>
                <w:rFonts w:ascii="Arial" w:eastAsia="Times New Roman" w:hAnsi="Arial" w:cs="Arial"/>
                <w:color w:val="000000"/>
                <w:sz w:val="2"/>
                <w:szCs w:val="2"/>
                <w:lang w:eastAsia="en-GB"/>
              </w:rPr>
            </w:pPr>
          </w:p>
        </w:tc>
      </w:tr>
      <w:tr w:rsidR="00C8791E" w:rsidRPr="001A58ED" w14:paraId="05D7D971" w14:textId="77777777" w:rsidTr="00837725">
        <w:trPr>
          <w:trHeight w:val="310"/>
          <w:jc w:val="center"/>
        </w:trPr>
        <w:tc>
          <w:tcPr>
            <w:tcW w:w="5807" w:type="dxa"/>
            <w:tcBorders>
              <w:top w:val="single" w:sz="4" w:space="0" w:color="auto"/>
              <w:left w:val="single" w:sz="4" w:space="0" w:color="auto"/>
              <w:bottom w:val="single" w:sz="4" w:space="0" w:color="auto"/>
              <w:right w:val="single" w:sz="4" w:space="0" w:color="auto"/>
            </w:tcBorders>
            <w:noWrap/>
            <w:vAlign w:val="bottom"/>
            <w:hideMark/>
          </w:tcPr>
          <w:p w14:paraId="18EE01E6" w14:textId="77777777" w:rsidR="00C8791E" w:rsidRPr="001A58ED" w:rsidRDefault="00C8791E" w:rsidP="00C8791E">
            <w:pPr>
              <w:spacing w:after="0" w:line="240" w:lineRule="auto"/>
              <w:ind w:left="57" w:right="57"/>
              <w:rPr>
                <w:rFonts w:ascii="Arial" w:eastAsia="Times New Roman" w:hAnsi="Arial" w:cs="Arial"/>
                <w:b/>
                <w:bCs/>
                <w:color w:val="000000"/>
                <w:lang w:eastAsia="en-GB"/>
              </w:rPr>
            </w:pPr>
            <w:r w:rsidRPr="001A58ED">
              <w:rPr>
                <w:rFonts w:ascii="Arial" w:eastAsia="Times New Roman" w:hAnsi="Arial" w:cs="Arial"/>
                <w:b/>
                <w:bCs/>
                <w:color w:val="000000"/>
                <w:lang w:eastAsia="en-GB"/>
              </w:rPr>
              <w:t>Net (debt)/Investments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DCB931E" w14:textId="07EB89DF" w:rsidR="00C8791E" w:rsidRPr="001A58ED" w:rsidRDefault="00C8791E" w:rsidP="00C8791E">
            <w:pPr>
              <w:spacing w:after="0" w:line="240" w:lineRule="auto"/>
              <w:ind w:left="57" w:right="57"/>
              <w:jc w:val="right"/>
              <w:rPr>
                <w:rFonts w:ascii="Arial" w:eastAsia="Times New Roman" w:hAnsi="Arial" w:cs="Arial"/>
                <w:b/>
                <w:bCs/>
                <w:color w:val="000000"/>
                <w:lang w:eastAsia="en-GB"/>
              </w:rPr>
            </w:pPr>
            <w:r w:rsidRPr="001A58ED">
              <w:rPr>
                <w:rFonts w:ascii="Arial" w:eastAsia="Times New Roman" w:hAnsi="Arial" w:cs="Arial"/>
                <w:b/>
                <w:bCs/>
                <w:color w:val="000000"/>
                <w:lang w:eastAsia="en-GB"/>
              </w:rPr>
              <w:t>(</w:t>
            </w:r>
            <w:r w:rsidR="00BE3CD7">
              <w:rPr>
                <w:rFonts w:ascii="Arial" w:eastAsia="Times New Roman" w:hAnsi="Arial" w:cs="Arial"/>
                <w:b/>
                <w:bCs/>
                <w:color w:val="000000"/>
                <w:lang w:eastAsia="en-GB"/>
              </w:rPr>
              <w:t>5</w:t>
            </w:r>
            <w:r w:rsidR="00945B69">
              <w:rPr>
                <w:rFonts w:ascii="Arial" w:eastAsia="Times New Roman" w:hAnsi="Arial" w:cs="Arial"/>
                <w:b/>
                <w:bCs/>
                <w:color w:val="000000"/>
                <w:lang w:eastAsia="en-GB"/>
              </w:rPr>
              <w:t>4</w:t>
            </w:r>
            <w:r w:rsidR="00533ACC" w:rsidRPr="001A58ED">
              <w:rPr>
                <w:rFonts w:ascii="Arial" w:eastAsia="Times New Roman" w:hAnsi="Arial" w:cs="Arial"/>
                <w:b/>
                <w:bCs/>
                <w:color w:val="000000"/>
                <w:lang w:eastAsia="en-GB"/>
              </w:rPr>
              <w:t>.</w:t>
            </w:r>
            <w:r w:rsidR="00BE3CD7">
              <w:rPr>
                <w:rFonts w:ascii="Arial" w:eastAsia="Times New Roman" w:hAnsi="Arial" w:cs="Arial"/>
                <w:b/>
                <w:bCs/>
                <w:color w:val="000000"/>
                <w:lang w:eastAsia="en-GB"/>
              </w:rPr>
              <w:t>62</w:t>
            </w:r>
            <w:r w:rsidR="00533ACC" w:rsidRPr="001A58ED">
              <w:rPr>
                <w:rFonts w:ascii="Arial" w:eastAsia="Times New Roman" w:hAnsi="Arial" w:cs="Arial"/>
                <w:b/>
                <w:bCs/>
                <w:color w:val="000000"/>
                <w:lang w:eastAsia="en-GB"/>
              </w:rPr>
              <w:t>8</w:t>
            </w:r>
            <w:r w:rsidRPr="001A58ED">
              <w:rPr>
                <w:rFonts w:ascii="Arial" w:eastAsia="Times New Roman" w:hAnsi="Arial" w:cs="Arial"/>
                <w:b/>
                <w:bCs/>
                <w:color w:val="000000"/>
                <w:lang w:eastAsia="en-GB"/>
              </w:rPr>
              <w:t>)</w:t>
            </w:r>
          </w:p>
        </w:tc>
      </w:tr>
    </w:tbl>
    <w:p w14:paraId="62273C63" w14:textId="77777777" w:rsidR="00B2758B" w:rsidRPr="007E0B1D" w:rsidRDefault="00B2758B" w:rsidP="00C8791E">
      <w:pPr>
        <w:ind w:left="360"/>
        <w:jc w:val="both"/>
        <w:rPr>
          <w:rFonts w:ascii="Arial" w:hAnsi="Arial" w:cs="Arial"/>
          <w:sz w:val="8"/>
          <w:szCs w:val="8"/>
        </w:rPr>
      </w:pPr>
    </w:p>
    <w:p w14:paraId="5F3ADF6C" w14:textId="1E6D0C7A" w:rsidR="00C8791E" w:rsidRPr="001A58ED" w:rsidRDefault="00B2758B" w:rsidP="007E0B1D">
      <w:pPr>
        <w:ind w:left="1080" w:hanging="1080"/>
        <w:jc w:val="both"/>
        <w:rPr>
          <w:rFonts w:ascii="Arial" w:hAnsi="Arial" w:cs="Arial"/>
        </w:rPr>
      </w:pPr>
      <w:r w:rsidRPr="001A58ED">
        <w:rPr>
          <w:rFonts w:ascii="Arial" w:hAnsi="Arial" w:cs="Arial"/>
        </w:rPr>
        <w:t>6.2.</w:t>
      </w:r>
      <w:r w:rsidR="004D00EE">
        <w:rPr>
          <w:rFonts w:ascii="Arial" w:hAnsi="Arial" w:cs="Arial"/>
        </w:rPr>
        <w:tab/>
      </w:r>
      <w:r w:rsidRPr="001A58ED">
        <w:rPr>
          <w:rFonts w:ascii="Arial" w:hAnsi="Arial" w:cs="Arial"/>
        </w:rPr>
        <w:t>The level of investments represents the Commissioner’s cumulative surplus on the General Fund, the balances on other cash-backed earmarked reserves and a cash-flow balance generated by a surplus of creditors over debtors and by grant receipts in advance of payments</w:t>
      </w:r>
    </w:p>
    <w:p w14:paraId="5A2450A6" w14:textId="21FA5291" w:rsidR="00405053" w:rsidRPr="001A58ED" w:rsidRDefault="00AD7FDF" w:rsidP="0051686A">
      <w:pPr>
        <w:pStyle w:val="ListParagraph"/>
        <w:keepNext/>
        <w:widowControl w:val="0"/>
        <w:spacing w:before="400"/>
        <w:ind w:left="0"/>
        <w:contextualSpacing w:val="0"/>
        <w:jc w:val="both"/>
        <w:rPr>
          <w:rFonts w:ascii="Arial" w:hAnsi="Arial" w:cs="Arial"/>
          <w:b/>
        </w:rPr>
      </w:pPr>
      <w:r w:rsidRPr="001A58ED">
        <w:rPr>
          <w:rFonts w:ascii="Arial" w:hAnsi="Arial" w:cs="Arial"/>
          <w:b/>
        </w:rPr>
        <w:t>7</w:t>
      </w:r>
      <w:r w:rsidR="00090722" w:rsidRPr="001A58ED">
        <w:rPr>
          <w:rFonts w:ascii="Arial" w:hAnsi="Arial" w:cs="Arial"/>
          <w:b/>
        </w:rPr>
        <w:t>.</w:t>
      </w:r>
      <w:r w:rsidR="00090722" w:rsidRPr="001A58ED">
        <w:rPr>
          <w:rFonts w:ascii="Arial" w:hAnsi="Arial" w:cs="Arial"/>
          <w:b/>
        </w:rPr>
        <w:tab/>
      </w:r>
      <w:r w:rsidR="007C5471" w:rsidRPr="001A58ED">
        <w:rPr>
          <w:rFonts w:ascii="Arial" w:hAnsi="Arial" w:cs="Arial"/>
          <w:b/>
        </w:rPr>
        <w:t>Borrowing Strategy</w:t>
      </w:r>
    </w:p>
    <w:p w14:paraId="62439F01" w14:textId="4C480139" w:rsidR="00AD7FDF" w:rsidRPr="001A58ED" w:rsidRDefault="00AD7FDF" w:rsidP="00657C97">
      <w:pPr>
        <w:pStyle w:val="ListParagraph"/>
        <w:numPr>
          <w:ilvl w:val="1"/>
          <w:numId w:val="6"/>
        </w:numPr>
        <w:spacing w:after="120" w:line="240" w:lineRule="auto"/>
        <w:rPr>
          <w:rFonts w:ascii="Arial" w:eastAsia="Times New Roman" w:hAnsi="Arial" w:cs="Arial"/>
          <w:lang w:eastAsia="en-GB"/>
        </w:rPr>
      </w:pPr>
      <w:r w:rsidRPr="001A58ED">
        <w:rPr>
          <w:rFonts w:ascii="Arial" w:eastAsia="Times New Roman" w:hAnsi="Arial" w:cs="Arial"/>
          <w:lang w:eastAsia="en-GB"/>
        </w:rPr>
        <w:t>In the medium term the PCC borrows for capital purposes only. The underlying need to borrow for capital purposes is measured by the Capital Financing Requirement (CFR), while usable reserves and working capital are the underlying resources available for investment. The table below compares the estimated CFR to the debt which currently exists. This gives an indication of the borrowing required. It also shows the estimated resources available for investment. An option is to use these balances to finance the expenditure rather than investing, often referred to as internal borrowing, so the table gives an indication of the minimum borrowing requirement through this method.</w:t>
      </w:r>
    </w:p>
    <w:p w14:paraId="0CF07F01" w14:textId="77777777" w:rsidR="00D309D2" w:rsidRDefault="00D309D2">
      <w:pPr>
        <w:spacing w:after="0" w:line="240" w:lineRule="auto"/>
        <w:rPr>
          <w:rFonts w:ascii="Arial" w:eastAsia="Times New Roman" w:hAnsi="Arial" w:cs="Arial"/>
          <w:lang w:eastAsia="en-GB"/>
        </w:rPr>
      </w:pPr>
      <w:r>
        <w:rPr>
          <w:rFonts w:ascii="Arial" w:eastAsia="Times New Roman" w:hAnsi="Arial" w:cs="Arial"/>
          <w:lang w:eastAsia="en-GB"/>
        </w:rPr>
        <w:br w:type="page"/>
      </w:r>
    </w:p>
    <w:p w14:paraId="493E5102" w14:textId="0EE54764" w:rsidR="00090722" w:rsidRPr="001A58ED" w:rsidRDefault="00AD7FDF" w:rsidP="00657C97">
      <w:pPr>
        <w:pStyle w:val="ListParagraph"/>
        <w:keepNext/>
        <w:widowControl w:val="0"/>
        <w:numPr>
          <w:ilvl w:val="1"/>
          <w:numId w:val="6"/>
        </w:numPr>
        <w:spacing w:before="400"/>
        <w:contextualSpacing w:val="0"/>
        <w:jc w:val="both"/>
        <w:rPr>
          <w:rFonts w:ascii="Arial" w:hAnsi="Arial" w:cs="Arial"/>
          <w:b/>
        </w:rPr>
      </w:pPr>
      <w:r w:rsidRPr="004D00EE">
        <w:rPr>
          <w:rFonts w:ascii="Arial" w:eastAsia="Times New Roman" w:hAnsi="Arial" w:cs="Arial"/>
          <w:lang w:eastAsia="en-GB"/>
        </w:rPr>
        <w:lastRenderedPageBreak/>
        <w:t>The CFR has been calculated adopting a policy that the Commissioner has set aside revenue reserves and contributions to contribute to the delivery of the investment included in the Capital Programme. This resource will be used, in the first instance, to provide finance for short life assets such as IT systems and equipment in order to avoid the use of borrowing where possible for this type of asset. The Commissioner's strategy increases the revenue budget each year in respect of the contribution made to finance the capital programme. This approach reflects the reduction in earmarked reserves available for funding the capital programme and represents a prudent strategy for the funding of short life assets. This approach is taken because the annual cost of borrowing over shorter terms is more expensive than for longer periods due to the higher MRP repayment and the use of revenue contributions and reserves to minimise such shorter life borrowing</w:t>
      </w:r>
      <w:r w:rsidRPr="001A58ED">
        <w:rPr>
          <w:rFonts w:ascii="Arial" w:eastAsia="Times New Roman" w:hAnsi="Arial" w:cs="Arial"/>
          <w:lang w:eastAsia="en-GB"/>
        </w:rPr>
        <w:t xml:space="preserve"> represents better value for money.</w:t>
      </w:r>
    </w:p>
    <w:p w14:paraId="1DCF6171" w14:textId="614D5E63" w:rsidR="00180E90" w:rsidRPr="001A58ED" w:rsidRDefault="00180E90" w:rsidP="00657C97">
      <w:pPr>
        <w:pStyle w:val="ListParagraph"/>
        <w:numPr>
          <w:ilvl w:val="1"/>
          <w:numId w:val="6"/>
        </w:numPr>
        <w:spacing w:after="120" w:line="240" w:lineRule="auto"/>
        <w:contextualSpacing w:val="0"/>
        <w:rPr>
          <w:rFonts w:ascii="Arial" w:hAnsi="Arial" w:cs="Arial"/>
        </w:rPr>
      </w:pPr>
      <w:r w:rsidRPr="001A58ED">
        <w:rPr>
          <w:rFonts w:ascii="Arial" w:hAnsi="Arial" w:cs="Arial"/>
        </w:rPr>
        <w:t xml:space="preserve">The CFR forecast includes the impact of the latest forecast of the funding of the Capital Programme. </w:t>
      </w:r>
    </w:p>
    <w:tbl>
      <w:tblPr>
        <w:tblStyle w:val="TableGrid2"/>
        <w:tblW w:w="0" w:type="auto"/>
        <w:jc w:val="center"/>
        <w:tblLook w:val="04A0" w:firstRow="1" w:lastRow="0" w:firstColumn="1" w:lastColumn="0" w:noHBand="0" w:noVBand="1"/>
      </w:tblPr>
      <w:tblGrid>
        <w:gridCol w:w="3237"/>
        <w:gridCol w:w="1195"/>
        <w:gridCol w:w="1195"/>
        <w:gridCol w:w="1195"/>
        <w:gridCol w:w="1195"/>
      </w:tblGrid>
      <w:tr w:rsidR="00180E90" w:rsidRPr="001A58ED" w14:paraId="3674457F" w14:textId="77777777" w:rsidTr="00837725">
        <w:trPr>
          <w:jc w:val="center"/>
        </w:trPr>
        <w:tc>
          <w:tcPr>
            <w:tcW w:w="0" w:type="auto"/>
          </w:tcPr>
          <w:p w14:paraId="37D9EFF0" w14:textId="77777777" w:rsidR="00180E90" w:rsidRPr="001A58ED" w:rsidRDefault="00180E90" w:rsidP="00837725">
            <w:pPr>
              <w:rPr>
                <w:rFonts w:cs="Arial"/>
                <w:bCs/>
                <w:color w:val="FF0000"/>
              </w:rPr>
            </w:pPr>
          </w:p>
        </w:tc>
        <w:tc>
          <w:tcPr>
            <w:tcW w:w="0" w:type="auto"/>
          </w:tcPr>
          <w:p w14:paraId="3ED69365" w14:textId="59AE1428" w:rsidR="00180E90" w:rsidRPr="001A58ED" w:rsidRDefault="00180E90" w:rsidP="00837725">
            <w:pPr>
              <w:jc w:val="center"/>
              <w:rPr>
                <w:rFonts w:cs="Arial"/>
                <w:bCs/>
              </w:rPr>
            </w:pPr>
            <w:r w:rsidRPr="001A58ED">
              <w:rPr>
                <w:rFonts w:cs="Arial"/>
                <w:bCs/>
              </w:rPr>
              <w:t>31/3/202</w:t>
            </w:r>
            <w:r w:rsidR="00F61DFE">
              <w:rPr>
                <w:rFonts w:cs="Arial"/>
                <w:bCs/>
              </w:rPr>
              <w:t>6</w:t>
            </w:r>
          </w:p>
        </w:tc>
        <w:tc>
          <w:tcPr>
            <w:tcW w:w="0" w:type="auto"/>
          </w:tcPr>
          <w:p w14:paraId="48E14EED" w14:textId="18F388FC" w:rsidR="00180E90" w:rsidRPr="001A58ED" w:rsidRDefault="00180E90" w:rsidP="00837725">
            <w:pPr>
              <w:jc w:val="center"/>
              <w:rPr>
                <w:rFonts w:cs="Arial"/>
                <w:bCs/>
              </w:rPr>
            </w:pPr>
            <w:r w:rsidRPr="001A58ED">
              <w:rPr>
                <w:rFonts w:cs="Arial"/>
                <w:bCs/>
              </w:rPr>
              <w:t>31/3/202</w:t>
            </w:r>
            <w:r w:rsidR="00F61DFE">
              <w:rPr>
                <w:rFonts w:cs="Arial"/>
                <w:bCs/>
              </w:rPr>
              <w:t>7</w:t>
            </w:r>
          </w:p>
        </w:tc>
        <w:tc>
          <w:tcPr>
            <w:tcW w:w="0" w:type="auto"/>
          </w:tcPr>
          <w:p w14:paraId="069DADA6" w14:textId="264CFFC0" w:rsidR="00180E90" w:rsidRPr="001A58ED" w:rsidRDefault="00180E90" w:rsidP="00837725">
            <w:pPr>
              <w:jc w:val="center"/>
              <w:rPr>
                <w:rFonts w:cs="Arial"/>
                <w:bCs/>
              </w:rPr>
            </w:pPr>
            <w:r w:rsidRPr="001A58ED">
              <w:rPr>
                <w:rFonts w:cs="Arial"/>
                <w:bCs/>
              </w:rPr>
              <w:t>31/3/202</w:t>
            </w:r>
            <w:r w:rsidR="00370DDB">
              <w:rPr>
                <w:rFonts w:cs="Arial"/>
                <w:bCs/>
              </w:rPr>
              <w:t>8</w:t>
            </w:r>
          </w:p>
        </w:tc>
        <w:tc>
          <w:tcPr>
            <w:tcW w:w="0" w:type="auto"/>
          </w:tcPr>
          <w:p w14:paraId="6A1B5AB8" w14:textId="50268876" w:rsidR="00180E90" w:rsidRPr="001A58ED" w:rsidRDefault="00180E90" w:rsidP="00837725">
            <w:pPr>
              <w:jc w:val="center"/>
              <w:rPr>
                <w:rFonts w:cs="Arial"/>
                <w:bCs/>
              </w:rPr>
            </w:pPr>
            <w:r w:rsidRPr="001A58ED">
              <w:rPr>
                <w:rFonts w:cs="Arial"/>
                <w:bCs/>
              </w:rPr>
              <w:t>31/3/202</w:t>
            </w:r>
            <w:r w:rsidR="00370DDB">
              <w:rPr>
                <w:rFonts w:cs="Arial"/>
                <w:bCs/>
              </w:rPr>
              <w:t>9</w:t>
            </w:r>
          </w:p>
        </w:tc>
      </w:tr>
      <w:tr w:rsidR="00180E90" w:rsidRPr="001A58ED" w14:paraId="47000758" w14:textId="77777777" w:rsidTr="00837725">
        <w:trPr>
          <w:jc w:val="center"/>
        </w:trPr>
        <w:tc>
          <w:tcPr>
            <w:tcW w:w="0" w:type="auto"/>
          </w:tcPr>
          <w:p w14:paraId="259AEE42" w14:textId="77777777" w:rsidR="00180E90" w:rsidRPr="001A58ED" w:rsidRDefault="00180E90" w:rsidP="00837725">
            <w:pPr>
              <w:rPr>
                <w:rFonts w:cs="Arial"/>
                <w:bCs/>
                <w:color w:val="FF0000"/>
                <w:highlight w:val="yellow"/>
              </w:rPr>
            </w:pPr>
          </w:p>
        </w:tc>
        <w:tc>
          <w:tcPr>
            <w:tcW w:w="0" w:type="auto"/>
          </w:tcPr>
          <w:p w14:paraId="43B31AA4" w14:textId="77777777" w:rsidR="00180E90" w:rsidRPr="001A58ED" w:rsidRDefault="00180E90" w:rsidP="00837725">
            <w:pPr>
              <w:jc w:val="center"/>
              <w:rPr>
                <w:rFonts w:cs="Arial"/>
                <w:bCs/>
              </w:rPr>
            </w:pPr>
            <w:r w:rsidRPr="001A58ED">
              <w:rPr>
                <w:rFonts w:cs="Arial"/>
                <w:bCs/>
              </w:rPr>
              <w:t>£m</w:t>
            </w:r>
          </w:p>
        </w:tc>
        <w:tc>
          <w:tcPr>
            <w:tcW w:w="0" w:type="auto"/>
          </w:tcPr>
          <w:p w14:paraId="4911D60D" w14:textId="77777777" w:rsidR="00180E90" w:rsidRPr="001A58ED" w:rsidRDefault="00180E90" w:rsidP="00837725">
            <w:pPr>
              <w:jc w:val="center"/>
              <w:rPr>
                <w:rFonts w:cs="Arial"/>
                <w:bCs/>
              </w:rPr>
            </w:pPr>
            <w:r w:rsidRPr="001A58ED">
              <w:rPr>
                <w:rFonts w:cs="Arial"/>
                <w:bCs/>
              </w:rPr>
              <w:t>£m</w:t>
            </w:r>
          </w:p>
        </w:tc>
        <w:tc>
          <w:tcPr>
            <w:tcW w:w="0" w:type="auto"/>
          </w:tcPr>
          <w:p w14:paraId="4C4D8DB5" w14:textId="77777777" w:rsidR="00180E90" w:rsidRPr="001A58ED" w:rsidRDefault="00180E90" w:rsidP="00837725">
            <w:pPr>
              <w:jc w:val="center"/>
              <w:rPr>
                <w:rFonts w:cs="Arial"/>
                <w:bCs/>
              </w:rPr>
            </w:pPr>
            <w:r w:rsidRPr="001A58ED">
              <w:rPr>
                <w:rFonts w:cs="Arial"/>
                <w:bCs/>
              </w:rPr>
              <w:t>£m</w:t>
            </w:r>
          </w:p>
        </w:tc>
        <w:tc>
          <w:tcPr>
            <w:tcW w:w="0" w:type="auto"/>
          </w:tcPr>
          <w:p w14:paraId="5642428D" w14:textId="77777777" w:rsidR="00180E90" w:rsidRPr="001A58ED" w:rsidRDefault="00180E90" w:rsidP="00837725">
            <w:pPr>
              <w:jc w:val="center"/>
              <w:rPr>
                <w:rFonts w:cs="Arial"/>
                <w:bCs/>
              </w:rPr>
            </w:pPr>
            <w:r w:rsidRPr="001A58ED">
              <w:rPr>
                <w:rFonts w:cs="Arial"/>
                <w:bCs/>
              </w:rPr>
              <w:t>£m</w:t>
            </w:r>
          </w:p>
        </w:tc>
      </w:tr>
      <w:tr w:rsidR="00180E90" w:rsidRPr="001A58ED" w14:paraId="73061C7E" w14:textId="77777777" w:rsidTr="00837725">
        <w:trPr>
          <w:jc w:val="center"/>
        </w:trPr>
        <w:tc>
          <w:tcPr>
            <w:tcW w:w="0" w:type="auto"/>
          </w:tcPr>
          <w:p w14:paraId="672698ED" w14:textId="77777777" w:rsidR="00180E90" w:rsidRPr="001A58ED" w:rsidRDefault="00180E90" w:rsidP="00837725">
            <w:pPr>
              <w:rPr>
                <w:rFonts w:cs="Arial"/>
                <w:bCs/>
              </w:rPr>
            </w:pPr>
            <w:r w:rsidRPr="001A58ED">
              <w:rPr>
                <w:rFonts w:cs="Arial"/>
                <w:bCs/>
              </w:rPr>
              <w:t xml:space="preserve">Capital Financing Requirement </w:t>
            </w:r>
          </w:p>
        </w:tc>
        <w:tc>
          <w:tcPr>
            <w:tcW w:w="0" w:type="auto"/>
            <w:tcBorders>
              <w:top w:val="nil"/>
              <w:left w:val="nil"/>
              <w:bottom w:val="single" w:sz="8" w:space="0" w:color="auto"/>
              <w:right w:val="single" w:sz="8" w:space="0" w:color="auto"/>
            </w:tcBorders>
            <w:vAlign w:val="center"/>
          </w:tcPr>
          <w:p w14:paraId="4EC5B3C2" w14:textId="67EE90D1" w:rsidR="00180E90" w:rsidRPr="001A58ED" w:rsidRDefault="00F61DFE" w:rsidP="00837725">
            <w:pPr>
              <w:jc w:val="right"/>
              <w:rPr>
                <w:rFonts w:cs="Arial"/>
                <w:bCs/>
              </w:rPr>
            </w:pPr>
            <w:r>
              <w:rPr>
                <w:rFonts w:cs="Arial"/>
                <w:bCs/>
              </w:rPr>
              <w:t>122.</w:t>
            </w:r>
            <w:r w:rsidR="0013043A">
              <w:rPr>
                <w:rFonts w:cs="Arial"/>
                <w:bCs/>
              </w:rPr>
              <w:t>057</w:t>
            </w:r>
          </w:p>
        </w:tc>
        <w:tc>
          <w:tcPr>
            <w:tcW w:w="0" w:type="auto"/>
            <w:tcBorders>
              <w:top w:val="nil"/>
              <w:left w:val="nil"/>
              <w:bottom w:val="single" w:sz="8" w:space="0" w:color="auto"/>
              <w:right w:val="single" w:sz="8" w:space="0" w:color="auto"/>
            </w:tcBorders>
            <w:vAlign w:val="center"/>
          </w:tcPr>
          <w:p w14:paraId="118DF664" w14:textId="7C159700" w:rsidR="00180E90" w:rsidRPr="001A58ED" w:rsidRDefault="00F61DFE" w:rsidP="00837725">
            <w:pPr>
              <w:jc w:val="right"/>
              <w:rPr>
                <w:rFonts w:cs="Arial"/>
                <w:bCs/>
              </w:rPr>
            </w:pPr>
            <w:r>
              <w:rPr>
                <w:rFonts w:cs="Arial"/>
              </w:rPr>
              <w:t>176.0</w:t>
            </w:r>
            <w:r w:rsidR="0013043A">
              <w:rPr>
                <w:rFonts w:cs="Arial"/>
              </w:rPr>
              <w:t>49</w:t>
            </w:r>
          </w:p>
        </w:tc>
        <w:tc>
          <w:tcPr>
            <w:tcW w:w="0" w:type="auto"/>
            <w:tcBorders>
              <w:top w:val="nil"/>
              <w:left w:val="nil"/>
              <w:bottom w:val="single" w:sz="8" w:space="0" w:color="auto"/>
              <w:right w:val="single" w:sz="8" w:space="0" w:color="auto"/>
            </w:tcBorders>
            <w:vAlign w:val="center"/>
          </w:tcPr>
          <w:p w14:paraId="0E3216CC" w14:textId="36F76BAB" w:rsidR="00180E90" w:rsidRPr="001A58ED" w:rsidRDefault="00F61DFE" w:rsidP="00837725">
            <w:pPr>
              <w:jc w:val="right"/>
              <w:rPr>
                <w:rFonts w:cs="Arial"/>
                <w:bCs/>
              </w:rPr>
            </w:pPr>
            <w:r>
              <w:rPr>
                <w:rFonts w:cs="Arial"/>
              </w:rPr>
              <w:t>224.</w:t>
            </w:r>
            <w:r w:rsidR="0013043A">
              <w:rPr>
                <w:rFonts w:cs="Arial"/>
              </w:rPr>
              <w:t>499</w:t>
            </w:r>
          </w:p>
        </w:tc>
        <w:tc>
          <w:tcPr>
            <w:tcW w:w="0" w:type="auto"/>
            <w:tcBorders>
              <w:top w:val="nil"/>
              <w:left w:val="nil"/>
              <w:bottom w:val="single" w:sz="8" w:space="0" w:color="auto"/>
              <w:right w:val="single" w:sz="8" w:space="0" w:color="auto"/>
            </w:tcBorders>
            <w:vAlign w:val="center"/>
          </w:tcPr>
          <w:p w14:paraId="32A159FD" w14:textId="3A74EAA4" w:rsidR="00180E90" w:rsidRPr="001A58ED" w:rsidRDefault="00F61DFE" w:rsidP="00837725">
            <w:pPr>
              <w:jc w:val="right"/>
              <w:rPr>
                <w:rFonts w:cs="Arial"/>
                <w:bCs/>
              </w:rPr>
            </w:pPr>
            <w:r>
              <w:rPr>
                <w:rFonts w:cs="Arial"/>
              </w:rPr>
              <w:t>270.0</w:t>
            </w:r>
            <w:r w:rsidR="0013043A">
              <w:rPr>
                <w:rFonts w:cs="Arial"/>
              </w:rPr>
              <w:t>5</w:t>
            </w:r>
            <w:r>
              <w:rPr>
                <w:rFonts w:cs="Arial"/>
              </w:rPr>
              <w:t>0</w:t>
            </w:r>
          </w:p>
        </w:tc>
      </w:tr>
      <w:tr w:rsidR="00180E90" w:rsidRPr="001A58ED" w14:paraId="4154FAB8" w14:textId="77777777" w:rsidTr="00837725">
        <w:trPr>
          <w:jc w:val="center"/>
        </w:trPr>
        <w:tc>
          <w:tcPr>
            <w:tcW w:w="0" w:type="auto"/>
          </w:tcPr>
          <w:p w14:paraId="4C8008F5" w14:textId="77777777" w:rsidR="00180E90" w:rsidRPr="001A58ED" w:rsidRDefault="00180E90" w:rsidP="00837725">
            <w:pPr>
              <w:rPr>
                <w:rFonts w:cs="Arial"/>
                <w:bCs/>
                <w:i/>
              </w:rPr>
            </w:pPr>
            <w:r w:rsidRPr="001A58ED">
              <w:rPr>
                <w:rFonts w:cs="Arial"/>
                <w:bCs/>
                <w:i/>
              </w:rPr>
              <w:t xml:space="preserve">Less </w:t>
            </w:r>
            <w:r w:rsidRPr="001A58ED">
              <w:rPr>
                <w:rFonts w:cs="Arial"/>
                <w:bCs/>
              </w:rPr>
              <w:t>external borrowing</w:t>
            </w:r>
          </w:p>
        </w:tc>
        <w:tc>
          <w:tcPr>
            <w:tcW w:w="0" w:type="auto"/>
            <w:tcBorders>
              <w:top w:val="nil"/>
              <w:left w:val="nil"/>
              <w:bottom w:val="single" w:sz="8" w:space="0" w:color="auto"/>
              <w:right w:val="single" w:sz="8" w:space="0" w:color="auto"/>
            </w:tcBorders>
            <w:vAlign w:val="center"/>
          </w:tcPr>
          <w:p w14:paraId="66E46A28" w14:textId="21859F5E" w:rsidR="00180E90" w:rsidRPr="001A58ED" w:rsidRDefault="00F61DFE" w:rsidP="00837725">
            <w:pPr>
              <w:jc w:val="right"/>
              <w:rPr>
                <w:rFonts w:cs="Arial"/>
                <w:bCs/>
              </w:rPr>
            </w:pPr>
            <w:r>
              <w:rPr>
                <w:rFonts w:cs="Arial"/>
                <w:bCs/>
              </w:rPr>
              <w:t>124.413</w:t>
            </w:r>
          </w:p>
        </w:tc>
        <w:tc>
          <w:tcPr>
            <w:tcW w:w="0" w:type="auto"/>
            <w:tcBorders>
              <w:top w:val="nil"/>
              <w:left w:val="nil"/>
              <w:bottom w:val="single" w:sz="8" w:space="0" w:color="auto"/>
              <w:right w:val="single" w:sz="8" w:space="0" w:color="auto"/>
            </w:tcBorders>
            <w:vAlign w:val="center"/>
          </w:tcPr>
          <w:p w14:paraId="63C9617D" w14:textId="1BB298D4" w:rsidR="00180E90" w:rsidRPr="001A58ED" w:rsidRDefault="00F61DFE" w:rsidP="00837725">
            <w:pPr>
              <w:jc w:val="right"/>
              <w:rPr>
                <w:rFonts w:cs="Arial"/>
                <w:bCs/>
              </w:rPr>
            </w:pPr>
            <w:r>
              <w:rPr>
                <w:rFonts w:cs="Arial"/>
                <w:bCs/>
              </w:rPr>
              <w:t>66.4</w:t>
            </w:r>
            <w:r w:rsidR="0013043A">
              <w:rPr>
                <w:rFonts w:cs="Arial"/>
                <w:bCs/>
              </w:rPr>
              <w:t>38</w:t>
            </w:r>
          </w:p>
        </w:tc>
        <w:tc>
          <w:tcPr>
            <w:tcW w:w="0" w:type="auto"/>
            <w:tcBorders>
              <w:top w:val="nil"/>
              <w:left w:val="nil"/>
              <w:bottom w:val="single" w:sz="8" w:space="0" w:color="auto"/>
              <w:right w:val="single" w:sz="8" w:space="0" w:color="auto"/>
            </w:tcBorders>
            <w:vAlign w:val="center"/>
          </w:tcPr>
          <w:p w14:paraId="3FADD3E6" w14:textId="223DAB26" w:rsidR="00180E90" w:rsidRPr="001A58ED" w:rsidRDefault="00F61DFE" w:rsidP="00837725">
            <w:pPr>
              <w:jc w:val="right"/>
              <w:rPr>
                <w:rFonts w:cs="Arial"/>
                <w:bCs/>
              </w:rPr>
            </w:pPr>
            <w:r>
              <w:rPr>
                <w:rFonts w:cs="Arial"/>
                <w:bCs/>
              </w:rPr>
              <w:t>44.</w:t>
            </w:r>
            <w:r w:rsidR="0013043A">
              <w:rPr>
                <w:rFonts w:cs="Arial"/>
                <w:bCs/>
              </w:rPr>
              <w:t>363</w:t>
            </w:r>
          </w:p>
        </w:tc>
        <w:tc>
          <w:tcPr>
            <w:tcW w:w="0" w:type="auto"/>
            <w:tcBorders>
              <w:top w:val="nil"/>
              <w:left w:val="nil"/>
              <w:bottom w:val="single" w:sz="8" w:space="0" w:color="auto"/>
              <w:right w:val="single" w:sz="8" w:space="0" w:color="auto"/>
            </w:tcBorders>
            <w:vAlign w:val="center"/>
          </w:tcPr>
          <w:p w14:paraId="0AA6F015" w14:textId="3F0C34C7" w:rsidR="00180E90" w:rsidRPr="001A58ED" w:rsidRDefault="00180E90" w:rsidP="00837725">
            <w:pPr>
              <w:jc w:val="right"/>
              <w:rPr>
                <w:rFonts w:cs="Arial"/>
                <w:bCs/>
              </w:rPr>
            </w:pPr>
            <w:r w:rsidRPr="001A58ED">
              <w:rPr>
                <w:rFonts w:cs="Arial"/>
              </w:rPr>
              <w:t>3</w:t>
            </w:r>
            <w:r w:rsidR="00F61DFE">
              <w:rPr>
                <w:rFonts w:cs="Arial"/>
              </w:rPr>
              <w:t>2.</w:t>
            </w:r>
            <w:r w:rsidR="0013043A">
              <w:rPr>
                <w:rFonts w:cs="Arial"/>
              </w:rPr>
              <w:t>288</w:t>
            </w:r>
          </w:p>
        </w:tc>
      </w:tr>
      <w:tr w:rsidR="00180E90" w:rsidRPr="001A58ED" w14:paraId="174A0E82" w14:textId="77777777" w:rsidTr="00837725">
        <w:trPr>
          <w:jc w:val="center"/>
        </w:trPr>
        <w:tc>
          <w:tcPr>
            <w:tcW w:w="0" w:type="auto"/>
            <w:shd w:val="clear" w:color="auto" w:fill="D9E2F3" w:themeFill="accent1" w:themeFillTint="33"/>
          </w:tcPr>
          <w:p w14:paraId="74233B4F" w14:textId="77777777" w:rsidR="00180E90" w:rsidRPr="001A58ED" w:rsidRDefault="00180E90" w:rsidP="00837725">
            <w:pPr>
              <w:rPr>
                <w:rFonts w:cs="Arial"/>
                <w:bCs/>
              </w:rPr>
            </w:pPr>
            <w:r w:rsidRPr="001A58ED">
              <w:rPr>
                <w:rFonts w:cs="Arial"/>
                <w:bCs/>
              </w:rPr>
              <w:t>Borrowing requirement</w:t>
            </w:r>
          </w:p>
        </w:tc>
        <w:tc>
          <w:tcPr>
            <w:tcW w:w="0" w:type="auto"/>
            <w:tcBorders>
              <w:top w:val="nil"/>
              <w:left w:val="nil"/>
              <w:bottom w:val="single" w:sz="8" w:space="0" w:color="auto"/>
              <w:right w:val="single" w:sz="8" w:space="0" w:color="auto"/>
            </w:tcBorders>
            <w:shd w:val="clear" w:color="000000" w:fill="DBE5F1"/>
            <w:vAlign w:val="center"/>
          </w:tcPr>
          <w:p w14:paraId="06A73712" w14:textId="5AA50D83" w:rsidR="00180E90" w:rsidRPr="001A58ED" w:rsidRDefault="00F61DFE" w:rsidP="00837725">
            <w:pPr>
              <w:jc w:val="right"/>
              <w:rPr>
                <w:rFonts w:cs="Arial"/>
                <w:bCs/>
              </w:rPr>
            </w:pPr>
            <w:r>
              <w:rPr>
                <w:rFonts w:cs="Arial"/>
                <w:bCs/>
              </w:rPr>
              <w:t>-2.</w:t>
            </w:r>
            <w:r w:rsidR="0013043A">
              <w:rPr>
                <w:rFonts w:cs="Arial"/>
                <w:bCs/>
              </w:rPr>
              <w:t>356</w:t>
            </w:r>
          </w:p>
        </w:tc>
        <w:tc>
          <w:tcPr>
            <w:tcW w:w="0" w:type="auto"/>
            <w:tcBorders>
              <w:top w:val="nil"/>
              <w:left w:val="nil"/>
              <w:bottom w:val="single" w:sz="8" w:space="0" w:color="auto"/>
              <w:right w:val="single" w:sz="8" w:space="0" w:color="auto"/>
            </w:tcBorders>
            <w:shd w:val="clear" w:color="000000" w:fill="DBE5F1"/>
            <w:vAlign w:val="center"/>
          </w:tcPr>
          <w:p w14:paraId="57F85A45" w14:textId="55E30EAB" w:rsidR="00180E90" w:rsidRPr="001A58ED" w:rsidRDefault="004628B2" w:rsidP="00837725">
            <w:pPr>
              <w:jc w:val="right"/>
              <w:rPr>
                <w:rFonts w:cs="Arial"/>
                <w:bCs/>
              </w:rPr>
            </w:pPr>
            <w:r w:rsidRPr="001A58ED">
              <w:rPr>
                <w:rFonts w:cs="Arial"/>
                <w:bCs/>
              </w:rPr>
              <w:t>1</w:t>
            </w:r>
            <w:r w:rsidR="00F61DFE">
              <w:rPr>
                <w:rFonts w:cs="Arial"/>
                <w:bCs/>
              </w:rPr>
              <w:t>09.6</w:t>
            </w:r>
            <w:r w:rsidR="0013043A">
              <w:rPr>
                <w:rFonts w:cs="Arial"/>
                <w:bCs/>
              </w:rPr>
              <w:t>11</w:t>
            </w:r>
          </w:p>
        </w:tc>
        <w:tc>
          <w:tcPr>
            <w:tcW w:w="0" w:type="auto"/>
            <w:tcBorders>
              <w:top w:val="nil"/>
              <w:left w:val="nil"/>
              <w:bottom w:val="single" w:sz="8" w:space="0" w:color="auto"/>
              <w:right w:val="single" w:sz="8" w:space="0" w:color="auto"/>
            </w:tcBorders>
            <w:shd w:val="clear" w:color="000000" w:fill="DBE5F1"/>
            <w:vAlign w:val="center"/>
          </w:tcPr>
          <w:p w14:paraId="6DABF3C3" w14:textId="30EBAF13" w:rsidR="00180E90" w:rsidRPr="001A58ED" w:rsidRDefault="00180E90" w:rsidP="00837725">
            <w:pPr>
              <w:jc w:val="right"/>
              <w:rPr>
                <w:rFonts w:cs="Arial"/>
                <w:bCs/>
              </w:rPr>
            </w:pPr>
            <w:r w:rsidRPr="001A58ED">
              <w:rPr>
                <w:rFonts w:cs="Arial"/>
              </w:rPr>
              <w:t>1</w:t>
            </w:r>
            <w:r w:rsidR="00F61DFE">
              <w:rPr>
                <w:rFonts w:cs="Arial"/>
              </w:rPr>
              <w:t>80.1</w:t>
            </w:r>
            <w:r w:rsidR="0013043A">
              <w:rPr>
                <w:rFonts w:cs="Arial"/>
              </w:rPr>
              <w:t>36</w:t>
            </w:r>
          </w:p>
        </w:tc>
        <w:tc>
          <w:tcPr>
            <w:tcW w:w="0" w:type="auto"/>
            <w:tcBorders>
              <w:top w:val="nil"/>
              <w:left w:val="nil"/>
              <w:bottom w:val="single" w:sz="8" w:space="0" w:color="auto"/>
              <w:right w:val="single" w:sz="8" w:space="0" w:color="auto"/>
            </w:tcBorders>
            <w:shd w:val="clear" w:color="000000" w:fill="DBE5F1"/>
            <w:vAlign w:val="center"/>
          </w:tcPr>
          <w:p w14:paraId="78B372DA" w14:textId="70205312" w:rsidR="00180E90" w:rsidRPr="001A58ED" w:rsidRDefault="00240FA7" w:rsidP="00837725">
            <w:pPr>
              <w:jc w:val="right"/>
              <w:rPr>
                <w:rFonts w:cs="Arial"/>
                <w:bCs/>
              </w:rPr>
            </w:pPr>
            <w:r w:rsidRPr="001A58ED">
              <w:rPr>
                <w:rFonts w:cs="Arial"/>
                <w:bCs/>
              </w:rPr>
              <w:t>2</w:t>
            </w:r>
            <w:r w:rsidR="00F61DFE">
              <w:rPr>
                <w:rFonts w:cs="Arial"/>
                <w:bCs/>
              </w:rPr>
              <w:t>37.</w:t>
            </w:r>
            <w:r w:rsidR="00480B0F">
              <w:rPr>
                <w:rFonts w:cs="Arial"/>
                <w:bCs/>
              </w:rPr>
              <w:t>762</w:t>
            </w:r>
          </w:p>
        </w:tc>
      </w:tr>
      <w:tr w:rsidR="00180E90" w:rsidRPr="001A58ED" w14:paraId="166133E8" w14:textId="77777777" w:rsidTr="00837725">
        <w:trPr>
          <w:jc w:val="center"/>
        </w:trPr>
        <w:tc>
          <w:tcPr>
            <w:tcW w:w="0" w:type="auto"/>
          </w:tcPr>
          <w:p w14:paraId="0F1B47B4" w14:textId="77777777" w:rsidR="00180E90" w:rsidRPr="001A58ED" w:rsidRDefault="00180E90" w:rsidP="00837725">
            <w:pPr>
              <w:rPr>
                <w:rFonts w:cs="Arial"/>
                <w:bCs/>
              </w:rPr>
            </w:pPr>
          </w:p>
        </w:tc>
        <w:tc>
          <w:tcPr>
            <w:tcW w:w="0" w:type="auto"/>
            <w:tcBorders>
              <w:top w:val="nil"/>
              <w:left w:val="nil"/>
              <w:bottom w:val="single" w:sz="8" w:space="0" w:color="auto"/>
              <w:right w:val="single" w:sz="8" w:space="0" w:color="auto"/>
            </w:tcBorders>
            <w:vAlign w:val="center"/>
          </w:tcPr>
          <w:p w14:paraId="249A79E4" w14:textId="77777777" w:rsidR="00180E90" w:rsidRPr="001A58ED" w:rsidRDefault="00180E90" w:rsidP="00837725">
            <w:pPr>
              <w:jc w:val="right"/>
              <w:rPr>
                <w:rFonts w:cs="Arial"/>
              </w:rPr>
            </w:pPr>
            <w:r w:rsidRPr="001A58ED">
              <w:rPr>
                <w:rFonts w:cs="Arial"/>
              </w:rPr>
              <w:t> </w:t>
            </w:r>
          </w:p>
        </w:tc>
        <w:tc>
          <w:tcPr>
            <w:tcW w:w="0" w:type="auto"/>
            <w:tcBorders>
              <w:top w:val="nil"/>
              <w:left w:val="nil"/>
              <w:bottom w:val="single" w:sz="8" w:space="0" w:color="auto"/>
              <w:right w:val="single" w:sz="8" w:space="0" w:color="auto"/>
            </w:tcBorders>
            <w:vAlign w:val="center"/>
          </w:tcPr>
          <w:p w14:paraId="5542EDD4" w14:textId="77777777" w:rsidR="00180E90" w:rsidRPr="001A58ED" w:rsidRDefault="00180E90" w:rsidP="00837725">
            <w:pPr>
              <w:jc w:val="right"/>
              <w:rPr>
                <w:rFonts w:cs="Arial"/>
                <w:bCs/>
              </w:rPr>
            </w:pPr>
            <w:r w:rsidRPr="001A58ED">
              <w:rPr>
                <w:rFonts w:cs="Arial"/>
              </w:rPr>
              <w:t> </w:t>
            </w:r>
          </w:p>
        </w:tc>
        <w:tc>
          <w:tcPr>
            <w:tcW w:w="0" w:type="auto"/>
            <w:tcBorders>
              <w:top w:val="nil"/>
              <w:left w:val="nil"/>
              <w:bottom w:val="single" w:sz="8" w:space="0" w:color="auto"/>
              <w:right w:val="single" w:sz="8" w:space="0" w:color="auto"/>
            </w:tcBorders>
            <w:vAlign w:val="center"/>
          </w:tcPr>
          <w:p w14:paraId="03AABB3B" w14:textId="77777777" w:rsidR="00180E90" w:rsidRPr="001A58ED" w:rsidRDefault="00180E90" w:rsidP="00837725">
            <w:pPr>
              <w:jc w:val="right"/>
              <w:rPr>
                <w:rFonts w:cs="Arial"/>
                <w:bCs/>
              </w:rPr>
            </w:pPr>
            <w:r w:rsidRPr="001A58ED">
              <w:rPr>
                <w:rFonts w:cs="Arial"/>
              </w:rPr>
              <w:t> </w:t>
            </w:r>
          </w:p>
        </w:tc>
        <w:tc>
          <w:tcPr>
            <w:tcW w:w="0" w:type="auto"/>
            <w:tcBorders>
              <w:top w:val="nil"/>
              <w:left w:val="nil"/>
              <w:bottom w:val="single" w:sz="8" w:space="0" w:color="auto"/>
              <w:right w:val="single" w:sz="8" w:space="0" w:color="auto"/>
            </w:tcBorders>
            <w:vAlign w:val="center"/>
          </w:tcPr>
          <w:p w14:paraId="47DD7869" w14:textId="77777777" w:rsidR="00180E90" w:rsidRPr="001A58ED" w:rsidRDefault="00180E90" w:rsidP="00837725">
            <w:pPr>
              <w:jc w:val="right"/>
              <w:rPr>
                <w:rFonts w:cs="Arial"/>
                <w:bCs/>
              </w:rPr>
            </w:pPr>
            <w:r w:rsidRPr="001A58ED">
              <w:rPr>
                <w:rFonts w:cs="Arial"/>
              </w:rPr>
              <w:t> </w:t>
            </w:r>
          </w:p>
        </w:tc>
      </w:tr>
      <w:tr w:rsidR="00180E90" w:rsidRPr="001A58ED" w14:paraId="000651CD" w14:textId="77777777" w:rsidTr="00837725">
        <w:trPr>
          <w:jc w:val="center"/>
        </w:trPr>
        <w:tc>
          <w:tcPr>
            <w:tcW w:w="0" w:type="auto"/>
          </w:tcPr>
          <w:p w14:paraId="2A110401" w14:textId="77777777" w:rsidR="00180E90" w:rsidRPr="001A58ED" w:rsidRDefault="00180E90" w:rsidP="00837725">
            <w:pPr>
              <w:rPr>
                <w:rFonts w:cs="Arial"/>
                <w:bCs/>
              </w:rPr>
            </w:pPr>
            <w:r w:rsidRPr="001A58ED">
              <w:rPr>
                <w:rFonts w:cs="Arial"/>
                <w:bCs/>
              </w:rPr>
              <w:t>Reserves and working capital</w:t>
            </w:r>
          </w:p>
        </w:tc>
        <w:tc>
          <w:tcPr>
            <w:tcW w:w="0" w:type="auto"/>
            <w:tcBorders>
              <w:top w:val="nil"/>
              <w:left w:val="nil"/>
              <w:bottom w:val="single" w:sz="8" w:space="0" w:color="auto"/>
              <w:right w:val="single" w:sz="8" w:space="0" w:color="auto"/>
            </w:tcBorders>
            <w:vAlign w:val="center"/>
          </w:tcPr>
          <w:p w14:paraId="69D36118" w14:textId="35542527" w:rsidR="00180E90" w:rsidRPr="001A58ED" w:rsidRDefault="003D05BA" w:rsidP="00837725">
            <w:pPr>
              <w:jc w:val="right"/>
              <w:rPr>
                <w:rFonts w:cs="Arial"/>
              </w:rPr>
            </w:pPr>
            <w:r>
              <w:rPr>
                <w:rFonts w:cs="Arial"/>
              </w:rPr>
              <w:t>0</w:t>
            </w:r>
          </w:p>
        </w:tc>
        <w:tc>
          <w:tcPr>
            <w:tcW w:w="0" w:type="auto"/>
            <w:tcBorders>
              <w:top w:val="nil"/>
              <w:left w:val="nil"/>
              <w:bottom w:val="single" w:sz="8" w:space="0" w:color="auto"/>
              <w:right w:val="single" w:sz="8" w:space="0" w:color="auto"/>
            </w:tcBorders>
            <w:vAlign w:val="center"/>
          </w:tcPr>
          <w:p w14:paraId="6D40C18A" w14:textId="35FB3FD2" w:rsidR="00180E90" w:rsidRPr="001A58ED" w:rsidRDefault="00180E90" w:rsidP="00837725">
            <w:pPr>
              <w:jc w:val="right"/>
              <w:rPr>
                <w:rFonts w:cs="Arial"/>
                <w:bCs/>
              </w:rPr>
            </w:pPr>
            <w:r w:rsidRPr="001A58ED">
              <w:rPr>
                <w:rFonts w:cs="Arial"/>
              </w:rPr>
              <w:t>-</w:t>
            </w:r>
            <w:r w:rsidR="004104EE">
              <w:rPr>
                <w:rFonts w:cs="Arial"/>
              </w:rPr>
              <w:t>2</w:t>
            </w:r>
            <w:r w:rsidR="004628B2" w:rsidRPr="001A58ED">
              <w:rPr>
                <w:rFonts w:cs="Arial"/>
              </w:rPr>
              <w:t>.</w:t>
            </w:r>
            <w:r w:rsidR="004104EE">
              <w:rPr>
                <w:rFonts w:cs="Arial"/>
              </w:rPr>
              <w:t>356</w:t>
            </w:r>
          </w:p>
        </w:tc>
        <w:tc>
          <w:tcPr>
            <w:tcW w:w="0" w:type="auto"/>
            <w:tcBorders>
              <w:top w:val="nil"/>
              <w:left w:val="nil"/>
              <w:bottom w:val="single" w:sz="8" w:space="0" w:color="auto"/>
              <w:right w:val="single" w:sz="8" w:space="0" w:color="auto"/>
            </w:tcBorders>
            <w:vAlign w:val="center"/>
          </w:tcPr>
          <w:p w14:paraId="684DB395" w14:textId="5BE0F182" w:rsidR="00180E90" w:rsidRPr="001A58ED" w:rsidRDefault="00DF5831" w:rsidP="00837725">
            <w:pPr>
              <w:jc w:val="right"/>
              <w:rPr>
                <w:rFonts w:cs="Arial"/>
                <w:bCs/>
              </w:rPr>
            </w:pPr>
            <w:r>
              <w:rPr>
                <w:rFonts w:cs="Arial"/>
                <w:bCs/>
              </w:rPr>
              <w:t>0</w:t>
            </w:r>
          </w:p>
        </w:tc>
        <w:tc>
          <w:tcPr>
            <w:tcW w:w="0" w:type="auto"/>
            <w:tcBorders>
              <w:top w:val="nil"/>
              <w:left w:val="nil"/>
              <w:bottom w:val="single" w:sz="8" w:space="0" w:color="auto"/>
              <w:right w:val="single" w:sz="8" w:space="0" w:color="auto"/>
            </w:tcBorders>
            <w:vAlign w:val="center"/>
          </w:tcPr>
          <w:p w14:paraId="07EF3D10" w14:textId="46BCFA6F" w:rsidR="00180E90" w:rsidRPr="001A58ED" w:rsidRDefault="00DF5831" w:rsidP="00837725">
            <w:pPr>
              <w:jc w:val="right"/>
              <w:rPr>
                <w:rFonts w:cs="Arial"/>
                <w:bCs/>
              </w:rPr>
            </w:pPr>
            <w:r>
              <w:rPr>
                <w:rFonts w:cs="Arial"/>
              </w:rPr>
              <w:t>0</w:t>
            </w:r>
          </w:p>
        </w:tc>
      </w:tr>
      <w:tr w:rsidR="00180E90" w:rsidRPr="001A58ED" w14:paraId="299E222D" w14:textId="77777777" w:rsidTr="00837725">
        <w:trPr>
          <w:jc w:val="center"/>
        </w:trPr>
        <w:tc>
          <w:tcPr>
            <w:tcW w:w="0" w:type="auto"/>
            <w:shd w:val="clear" w:color="auto" w:fill="D9E2F3" w:themeFill="accent1" w:themeFillTint="33"/>
          </w:tcPr>
          <w:p w14:paraId="0D7CE7CA" w14:textId="77777777" w:rsidR="00180E90" w:rsidRPr="001A58ED" w:rsidRDefault="00180E90" w:rsidP="00837725">
            <w:pPr>
              <w:rPr>
                <w:rFonts w:cs="Arial"/>
                <w:bCs/>
              </w:rPr>
            </w:pPr>
            <w:r w:rsidRPr="001A58ED">
              <w:rPr>
                <w:rFonts w:cs="Arial"/>
                <w:bCs/>
              </w:rPr>
              <w:t>Borrowing/(investment) need</w:t>
            </w:r>
          </w:p>
        </w:tc>
        <w:tc>
          <w:tcPr>
            <w:tcW w:w="0" w:type="auto"/>
            <w:tcBorders>
              <w:top w:val="nil"/>
              <w:left w:val="nil"/>
              <w:bottom w:val="single" w:sz="8" w:space="0" w:color="auto"/>
              <w:right w:val="single" w:sz="8" w:space="0" w:color="auto"/>
            </w:tcBorders>
            <w:shd w:val="clear" w:color="000000" w:fill="DBE5F1"/>
            <w:vAlign w:val="center"/>
          </w:tcPr>
          <w:p w14:paraId="0BD4DA59" w14:textId="144599AB" w:rsidR="00180E90" w:rsidRPr="001A58ED" w:rsidRDefault="003D05BA" w:rsidP="00837725">
            <w:pPr>
              <w:jc w:val="right"/>
              <w:rPr>
                <w:rFonts w:cs="Arial"/>
                <w:bCs/>
              </w:rPr>
            </w:pPr>
            <w:r>
              <w:rPr>
                <w:rFonts w:cs="Arial"/>
                <w:bCs/>
              </w:rPr>
              <w:t>-2,356</w:t>
            </w:r>
          </w:p>
        </w:tc>
        <w:tc>
          <w:tcPr>
            <w:tcW w:w="0" w:type="auto"/>
            <w:tcBorders>
              <w:top w:val="nil"/>
              <w:left w:val="nil"/>
              <w:bottom w:val="single" w:sz="8" w:space="0" w:color="auto"/>
              <w:right w:val="single" w:sz="8" w:space="0" w:color="auto"/>
            </w:tcBorders>
            <w:shd w:val="clear" w:color="000000" w:fill="DBE5F1"/>
            <w:vAlign w:val="center"/>
          </w:tcPr>
          <w:p w14:paraId="7FC93EAC" w14:textId="52CEB9CB" w:rsidR="00180E90" w:rsidRPr="001A58ED" w:rsidRDefault="0000658F" w:rsidP="00837725">
            <w:pPr>
              <w:jc w:val="right"/>
              <w:rPr>
                <w:rFonts w:cs="Arial"/>
                <w:bCs/>
              </w:rPr>
            </w:pPr>
            <w:r>
              <w:rPr>
                <w:rFonts w:cs="Arial"/>
                <w:bCs/>
              </w:rPr>
              <w:t>107.255</w:t>
            </w:r>
          </w:p>
        </w:tc>
        <w:tc>
          <w:tcPr>
            <w:tcW w:w="0" w:type="auto"/>
            <w:tcBorders>
              <w:top w:val="nil"/>
              <w:left w:val="nil"/>
              <w:bottom w:val="single" w:sz="8" w:space="0" w:color="auto"/>
              <w:right w:val="single" w:sz="8" w:space="0" w:color="auto"/>
            </w:tcBorders>
            <w:shd w:val="clear" w:color="000000" w:fill="DBE5F1"/>
            <w:vAlign w:val="center"/>
          </w:tcPr>
          <w:p w14:paraId="667638EC" w14:textId="625FACD6" w:rsidR="00180E90" w:rsidRPr="001A58ED" w:rsidRDefault="00DF5831" w:rsidP="00837725">
            <w:pPr>
              <w:jc w:val="right"/>
              <w:rPr>
                <w:rFonts w:cs="Arial"/>
                <w:bCs/>
              </w:rPr>
            </w:pPr>
            <w:r>
              <w:rPr>
                <w:rFonts w:cs="Arial"/>
                <w:bCs/>
              </w:rPr>
              <w:t>180.136</w:t>
            </w:r>
          </w:p>
        </w:tc>
        <w:tc>
          <w:tcPr>
            <w:tcW w:w="0" w:type="auto"/>
            <w:tcBorders>
              <w:top w:val="nil"/>
              <w:left w:val="nil"/>
              <w:bottom w:val="single" w:sz="8" w:space="0" w:color="auto"/>
              <w:right w:val="single" w:sz="8" w:space="0" w:color="auto"/>
            </w:tcBorders>
            <w:shd w:val="clear" w:color="000000" w:fill="DBE5F1"/>
            <w:vAlign w:val="center"/>
          </w:tcPr>
          <w:p w14:paraId="6072A7D9" w14:textId="53DD4873" w:rsidR="00180E90" w:rsidRPr="001A58ED" w:rsidRDefault="00DF5831" w:rsidP="00837725">
            <w:pPr>
              <w:jc w:val="right"/>
              <w:rPr>
                <w:rFonts w:cs="Arial"/>
                <w:bCs/>
              </w:rPr>
            </w:pPr>
            <w:r>
              <w:rPr>
                <w:rFonts w:cs="Arial"/>
                <w:bCs/>
              </w:rPr>
              <w:t>237.762</w:t>
            </w:r>
          </w:p>
        </w:tc>
      </w:tr>
    </w:tbl>
    <w:p w14:paraId="56745306" w14:textId="77777777" w:rsidR="00D309D2" w:rsidRPr="00D309D2" w:rsidRDefault="00D309D2" w:rsidP="00D309D2">
      <w:pPr>
        <w:spacing w:before="270" w:after="120" w:line="240" w:lineRule="auto"/>
        <w:rPr>
          <w:rFonts w:ascii="Arial" w:eastAsia="Times New Roman" w:hAnsi="Arial" w:cs="Arial"/>
          <w:b/>
          <w:lang w:eastAsia="en-GB"/>
        </w:rPr>
      </w:pPr>
    </w:p>
    <w:p w14:paraId="29C0D5A3" w14:textId="77777777" w:rsidR="00D309D2" w:rsidRDefault="00D309D2">
      <w:pPr>
        <w:spacing w:after="0" w:line="240" w:lineRule="auto"/>
        <w:rPr>
          <w:rFonts w:ascii="Arial" w:eastAsia="Times New Roman" w:hAnsi="Arial" w:cs="Arial"/>
          <w:b/>
          <w:lang w:eastAsia="en-GB"/>
        </w:rPr>
      </w:pPr>
      <w:r>
        <w:rPr>
          <w:rFonts w:ascii="Arial" w:eastAsia="Times New Roman" w:hAnsi="Arial" w:cs="Arial"/>
          <w:b/>
          <w:lang w:eastAsia="en-GB"/>
        </w:rPr>
        <w:br w:type="page"/>
      </w:r>
    </w:p>
    <w:p w14:paraId="7E1BC7CC" w14:textId="47A1EAFD" w:rsidR="00240FA7" w:rsidRDefault="00240FA7" w:rsidP="00657C97">
      <w:pPr>
        <w:pStyle w:val="ListParagraph"/>
        <w:numPr>
          <w:ilvl w:val="0"/>
          <w:numId w:val="6"/>
        </w:numPr>
        <w:spacing w:before="270" w:after="120" w:line="240" w:lineRule="auto"/>
        <w:rPr>
          <w:rFonts w:ascii="Arial" w:eastAsia="Times New Roman" w:hAnsi="Arial" w:cs="Arial"/>
          <w:b/>
          <w:lang w:eastAsia="en-GB"/>
        </w:rPr>
      </w:pPr>
      <w:r w:rsidRPr="001A58ED">
        <w:rPr>
          <w:rFonts w:ascii="Arial" w:eastAsia="Times New Roman" w:hAnsi="Arial" w:cs="Arial"/>
          <w:b/>
          <w:lang w:eastAsia="en-GB"/>
        </w:rPr>
        <w:lastRenderedPageBreak/>
        <w:t>Liability benchmark</w:t>
      </w:r>
    </w:p>
    <w:p w14:paraId="0829BA3C" w14:textId="77777777" w:rsidR="001A58ED" w:rsidRPr="001A58ED" w:rsidRDefault="001A58ED" w:rsidP="001A58ED">
      <w:pPr>
        <w:pStyle w:val="ListParagraph"/>
        <w:spacing w:before="270" w:after="120" w:line="240" w:lineRule="auto"/>
        <w:ind w:left="408"/>
        <w:rPr>
          <w:rFonts w:ascii="Arial" w:eastAsia="Times New Roman" w:hAnsi="Arial" w:cs="Arial"/>
          <w:b/>
          <w:lang w:eastAsia="en-GB"/>
        </w:rPr>
      </w:pPr>
    </w:p>
    <w:p w14:paraId="0ACCD0A7" w14:textId="5F3ACE9B" w:rsidR="00240FA7" w:rsidRDefault="00240FA7" w:rsidP="001A58ED">
      <w:pPr>
        <w:pStyle w:val="ListParagraph"/>
        <w:numPr>
          <w:ilvl w:val="1"/>
          <w:numId w:val="6"/>
        </w:numPr>
        <w:spacing w:after="240" w:line="240" w:lineRule="auto"/>
        <w:rPr>
          <w:rFonts w:ascii="Arial" w:eastAsia="Times New Roman" w:hAnsi="Arial" w:cs="Arial"/>
          <w:lang w:eastAsia="en-GB"/>
        </w:rPr>
      </w:pPr>
      <w:r w:rsidRPr="001A58ED">
        <w:rPr>
          <w:rFonts w:ascii="Arial" w:eastAsia="Times New Roman" w:hAnsi="Arial" w:cs="Arial"/>
          <w:lang w:eastAsia="en-GB"/>
        </w:rPr>
        <w:t>To compare the Commissioner’s actual borrowing against an alternative strategy,</w:t>
      </w:r>
      <w:r w:rsidR="00EA0707" w:rsidRPr="001A58ED">
        <w:rPr>
          <w:rFonts w:ascii="Arial" w:eastAsia="Times New Roman" w:hAnsi="Arial" w:cs="Arial"/>
          <w:lang w:eastAsia="en-GB"/>
        </w:rPr>
        <w:t xml:space="preserve"> </w:t>
      </w:r>
      <w:r w:rsidRPr="001A58ED">
        <w:rPr>
          <w:rFonts w:ascii="Arial" w:eastAsia="Times New Roman" w:hAnsi="Arial" w:cs="Arial"/>
          <w:lang w:eastAsia="en-GB"/>
        </w:rPr>
        <w:t>a liability benchmark has been calculated showing the lowest risk level of borrowing. This assumes the same forecasts as the table above, but that cash and investment balances are kept to a minimum level of £10m at each year-end to maintain sufficient liquidity but minimise credit risk. The liability benchmarks are shown in the graph below:</w:t>
      </w:r>
    </w:p>
    <w:p w14:paraId="19CDA69C" w14:textId="45D570AE" w:rsidR="0070626A" w:rsidRDefault="0070626A" w:rsidP="00CB7D23">
      <w:pPr>
        <w:pStyle w:val="ListParagraph"/>
        <w:spacing w:after="240" w:line="240" w:lineRule="auto"/>
        <w:ind w:left="408"/>
        <w:jc w:val="center"/>
        <w:rPr>
          <w:rFonts w:ascii="Arial" w:eastAsia="Times New Roman" w:hAnsi="Arial" w:cs="Arial"/>
          <w:lang w:eastAsia="en-GB"/>
        </w:rPr>
      </w:pPr>
    </w:p>
    <w:p w14:paraId="434D706A" w14:textId="1BE303B9" w:rsidR="0070626A" w:rsidRDefault="00446D0B" w:rsidP="0070626A">
      <w:pPr>
        <w:pStyle w:val="ListParagraph"/>
        <w:spacing w:after="240" w:line="240" w:lineRule="auto"/>
        <w:ind w:left="408"/>
        <w:rPr>
          <w:rFonts w:ascii="Arial" w:eastAsia="Times New Roman" w:hAnsi="Arial" w:cs="Arial"/>
          <w:lang w:eastAsia="en-GB"/>
        </w:rPr>
      </w:pPr>
      <w:r>
        <w:rPr>
          <w:noProof/>
        </w:rPr>
        <w:drawing>
          <wp:inline distT="0" distB="0" distL="0" distR="0" wp14:anchorId="6F129E34" wp14:editId="1E085790">
            <wp:extent cx="5926455" cy="3686175"/>
            <wp:effectExtent l="0" t="0" r="17145" b="9525"/>
            <wp:docPr id="536221734" name="Chart 1">
              <a:extLst xmlns:a="http://schemas.openxmlformats.org/drawingml/2006/main">
                <a:ext uri="{FF2B5EF4-FFF2-40B4-BE49-F238E27FC236}">
                  <a16:creationId xmlns:a16="http://schemas.microsoft.com/office/drawing/2014/main" id="{A9230112-016D-E5CA-1949-3D527E25EC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CBB8649" w14:textId="77777777" w:rsidR="0070626A" w:rsidRPr="001A58ED" w:rsidRDefault="0070626A" w:rsidP="0070626A">
      <w:pPr>
        <w:pStyle w:val="ListParagraph"/>
        <w:spacing w:after="240" w:line="240" w:lineRule="auto"/>
        <w:ind w:left="408"/>
        <w:rPr>
          <w:rFonts w:ascii="Arial" w:eastAsia="Times New Roman" w:hAnsi="Arial" w:cs="Arial"/>
          <w:lang w:eastAsia="en-GB"/>
        </w:rPr>
      </w:pPr>
    </w:p>
    <w:p w14:paraId="1A5C7D84" w14:textId="4891A83B" w:rsidR="004726A1" w:rsidRPr="001A58ED" w:rsidRDefault="004726A1" w:rsidP="00657C97">
      <w:pPr>
        <w:pStyle w:val="ListParagraph"/>
        <w:numPr>
          <w:ilvl w:val="1"/>
          <w:numId w:val="6"/>
        </w:numPr>
        <w:spacing w:after="120" w:line="240" w:lineRule="auto"/>
        <w:contextualSpacing w:val="0"/>
        <w:rPr>
          <w:rFonts w:ascii="Arial" w:hAnsi="Arial" w:cs="Arial"/>
        </w:rPr>
      </w:pPr>
      <w:r w:rsidRPr="001A58ED">
        <w:rPr>
          <w:rFonts w:ascii="Arial" w:hAnsi="Arial" w:cs="Arial"/>
        </w:rPr>
        <w:t xml:space="preserve">The liability benchmark graph above shows that there is an actual need to undertake borrowing in </w:t>
      </w:r>
      <w:r w:rsidR="006E4759">
        <w:rPr>
          <w:rFonts w:ascii="Arial" w:hAnsi="Arial" w:cs="Arial"/>
        </w:rPr>
        <w:t>2026/27</w:t>
      </w:r>
      <w:r w:rsidRPr="001A58ED">
        <w:rPr>
          <w:rFonts w:ascii="Arial" w:hAnsi="Arial" w:cs="Arial"/>
        </w:rPr>
        <w:t xml:space="preserve"> and beyond until at least 206</w:t>
      </w:r>
      <w:r w:rsidR="00754BDF">
        <w:rPr>
          <w:rFonts w:ascii="Arial" w:hAnsi="Arial" w:cs="Arial"/>
        </w:rPr>
        <w:t>5</w:t>
      </w:r>
      <w:r w:rsidRPr="001A58ED">
        <w:rPr>
          <w:rFonts w:ascii="Arial" w:hAnsi="Arial" w:cs="Arial"/>
        </w:rPr>
        <w:t>/6</w:t>
      </w:r>
      <w:r w:rsidR="00754BDF">
        <w:rPr>
          <w:rFonts w:ascii="Arial" w:hAnsi="Arial" w:cs="Arial"/>
        </w:rPr>
        <w:t>6</w:t>
      </w:r>
      <w:r w:rsidRPr="001A58ED">
        <w:rPr>
          <w:rFonts w:ascii="Arial" w:hAnsi="Arial" w:cs="Arial"/>
        </w:rPr>
        <w:t xml:space="preserve"> based upon the current capital programme so consideration will be given to undertake some long-term borrowing in the next few years.</w:t>
      </w:r>
    </w:p>
    <w:p w14:paraId="1A10783A" w14:textId="77777777" w:rsidR="001A58ED" w:rsidRDefault="001A58ED">
      <w:pPr>
        <w:spacing w:after="0" w:line="240" w:lineRule="auto"/>
        <w:rPr>
          <w:rFonts w:ascii="Arial" w:eastAsia="Times New Roman" w:hAnsi="Arial" w:cs="Arial"/>
          <w:b/>
          <w:lang w:eastAsia="en-GB"/>
        </w:rPr>
      </w:pPr>
      <w:r>
        <w:rPr>
          <w:rFonts w:cs="Arial"/>
          <w:b/>
        </w:rPr>
        <w:br w:type="page"/>
      </w:r>
    </w:p>
    <w:p w14:paraId="70E645FD" w14:textId="65B2DE8B" w:rsidR="004726A1" w:rsidRPr="001A58ED" w:rsidRDefault="004726A1" w:rsidP="00657C97">
      <w:pPr>
        <w:pStyle w:val="BodyText"/>
        <w:numPr>
          <w:ilvl w:val="0"/>
          <w:numId w:val="6"/>
        </w:numPr>
        <w:spacing w:before="270" w:after="120"/>
        <w:rPr>
          <w:rFonts w:cs="Arial"/>
          <w:b/>
          <w:sz w:val="22"/>
          <w:szCs w:val="22"/>
        </w:rPr>
      </w:pPr>
      <w:r w:rsidRPr="001A58ED">
        <w:rPr>
          <w:rFonts w:cs="Arial"/>
          <w:b/>
          <w:sz w:val="22"/>
          <w:szCs w:val="22"/>
        </w:rPr>
        <w:lastRenderedPageBreak/>
        <w:t>Borrowing Strategy</w:t>
      </w:r>
    </w:p>
    <w:p w14:paraId="4D17EB9A" w14:textId="03957BC6" w:rsidR="004726A1" w:rsidRPr="001A58ED" w:rsidRDefault="004726A1" w:rsidP="00657C97">
      <w:pPr>
        <w:pStyle w:val="ListParagraph"/>
        <w:numPr>
          <w:ilvl w:val="1"/>
          <w:numId w:val="6"/>
        </w:numPr>
        <w:spacing w:after="240" w:line="240" w:lineRule="auto"/>
        <w:contextualSpacing w:val="0"/>
        <w:rPr>
          <w:rFonts w:ascii="Arial" w:hAnsi="Arial" w:cs="Arial"/>
        </w:rPr>
      </w:pPr>
      <w:r w:rsidRPr="001A58ED">
        <w:rPr>
          <w:rFonts w:ascii="Arial" w:hAnsi="Arial" w:cs="Arial"/>
        </w:rPr>
        <w:t xml:space="preserve">The data shown above demonstrates that the Commissioner does have a significant borrowing requirement both in the short and long term. This requirement could be met by taking a series of long-term loans. However, this may be too simplistic an approach as there will be some internal resources that could be used to replace borrowing especially as the receipt of income is not even during the year. The diagram below shows the cashflow forecasts for </w:t>
      </w:r>
      <w:r w:rsidR="006E4759">
        <w:rPr>
          <w:rFonts w:ascii="Arial" w:hAnsi="Arial" w:cs="Arial"/>
        </w:rPr>
        <w:t>2026/27</w:t>
      </w:r>
      <w:r w:rsidRPr="001A58ED">
        <w:rPr>
          <w:rFonts w:ascii="Arial" w:hAnsi="Arial" w:cs="Arial"/>
        </w:rPr>
        <w:t xml:space="preserve"> before any further borrowing decisions are taken:</w:t>
      </w:r>
    </w:p>
    <w:p w14:paraId="3D90A9A2" w14:textId="20DD20AA" w:rsidR="00422D28" w:rsidRPr="00422D28" w:rsidRDefault="009516B5" w:rsidP="00422D28">
      <w:pPr>
        <w:pStyle w:val="ListParagraph"/>
        <w:spacing w:after="240" w:line="240" w:lineRule="auto"/>
        <w:contextualSpacing w:val="0"/>
        <w:rPr>
          <w:rFonts w:ascii="Arial" w:hAnsi="Arial" w:cs="Arial"/>
        </w:rPr>
      </w:pPr>
      <w:r>
        <w:rPr>
          <w:rFonts w:ascii="Arial" w:hAnsi="Arial" w:cs="Arial"/>
          <w:noProof/>
        </w:rPr>
        <w:drawing>
          <wp:inline distT="0" distB="0" distL="0" distR="0" wp14:anchorId="5E3AE848" wp14:editId="470F7328">
            <wp:extent cx="6019446" cy="2242268"/>
            <wp:effectExtent l="0" t="0" r="635" b="5715"/>
            <wp:docPr id="1299430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43004" name="Picture 12994300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28638" cy="2245692"/>
                    </a:xfrm>
                    <a:prstGeom prst="rect">
                      <a:avLst/>
                    </a:prstGeom>
                  </pic:spPr>
                </pic:pic>
              </a:graphicData>
            </a:graphic>
          </wp:inline>
        </w:drawing>
      </w:r>
    </w:p>
    <w:p w14:paraId="343656B9" w14:textId="2A203B3B" w:rsidR="004726A1" w:rsidRPr="001A58ED" w:rsidRDefault="004726A1" w:rsidP="00657C97">
      <w:pPr>
        <w:pStyle w:val="ListParagraph"/>
        <w:numPr>
          <w:ilvl w:val="1"/>
          <w:numId w:val="6"/>
        </w:numPr>
        <w:spacing w:after="120" w:line="240" w:lineRule="auto"/>
        <w:contextualSpacing w:val="0"/>
        <w:rPr>
          <w:rFonts w:ascii="Arial" w:hAnsi="Arial" w:cs="Arial"/>
        </w:rPr>
      </w:pPr>
      <w:r w:rsidRPr="001A58ED">
        <w:rPr>
          <w:rFonts w:ascii="Arial" w:hAnsi="Arial" w:cs="Arial"/>
        </w:rPr>
        <w:t xml:space="preserve">The graph illustrates there are times when cash flow is negative and therefore short-term loans could be used to meet the borrowing need in the year. However, as capital expenditure is incurred over the next few years this will becoming increasingly difficult. </w:t>
      </w:r>
    </w:p>
    <w:p w14:paraId="23A9C669" w14:textId="77777777" w:rsidR="004726A1" w:rsidRPr="001A58ED" w:rsidRDefault="004726A1" w:rsidP="00657C97">
      <w:pPr>
        <w:pStyle w:val="ListParagraph"/>
        <w:numPr>
          <w:ilvl w:val="1"/>
          <w:numId w:val="6"/>
        </w:numPr>
        <w:spacing w:after="120" w:line="240" w:lineRule="auto"/>
        <w:contextualSpacing w:val="0"/>
        <w:rPr>
          <w:rFonts w:ascii="Arial" w:hAnsi="Arial" w:cs="Arial"/>
        </w:rPr>
      </w:pPr>
      <w:r w:rsidRPr="001A58ED">
        <w:rPr>
          <w:rFonts w:ascii="Arial" w:hAnsi="Arial" w:cs="Arial"/>
        </w:rPr>
        <w:t xml:space="preserve">It is therefore anticipated that the borrowing strategy will be to meet requirements by a mixture of long and short-term borrowing. Short-term borrowing is generally cheaper in year but there is the risk that future replacement loans will be more expensive. Therefore, consideration will be given to both debt maturity profile and the latest interest rate forecasts to assess whether long or short-term borrowing is taken. </w:t>
      </w:r>
    </w:p>
    <w:p w14:paraId="432D5D65" w14:textId="0FF42909" w:rsidR="004726A1" w:rsidRPr="001A58ED" w:rsidRDefault="004726A1" w:rsidP="00657C97">
      <w:pPr>
        <w:pStyle w:val="ListParagraph"/>
        <w:numPr>
          <w:ilvl w:val="1"/>
          <w:numId w:val="6"/>
        </w:numPr>
        <w:spacing w:after="240" w:line="240" w:lineRule="auto"/>
        <w:contextualSpacing w:val="0"/>
        <w:rPr>
          <w:rFonts w:ascii="Arial" w:hAnsi="Arial" w:cs="Arial"/>
        </w:rPr>
      </w:pPr>
      <w:r w:rsidRPr="001A58ED">
        <w:rPr>
          <w:rFonts w:ascii="Arial" w:hAnsi="Arial" w:cs="Arial"/>
        </w:rPr>
        <w:t>The table below shows the maturity profile of the existing debt of £</w:t>
      </w:r>
      <w:r w:rsidR="00370DDB">
        <w:rPr>
          <w:rFonts w:ascii="Arial" w:hAnsi="Arial" w:cs="Arial"/>
        </w:rPr>
        <w:t>124</w:t>
      </w:r>
      <w:r w:rsidRPr="001A58ED">
        <w:rPr>
          <w:rFonts w:ascii="Arial" w:hAnsi="Arial" w:cs="Arial"/>
        </w:rPr>
        <w:t>.</w:t>
      </w:r>
      <w:r w:rsidR="00370DDB">
        <w:rPr>
          <w:rFonts w:ascii="Arial" w:hAnsi="Arial" w:cs="Arial"/>
        </w:rPr>
        <w:t>413</w:t>
      </w:r>
      <w:r w:rsidRPr="001A58ED">
        <w:rPr>
          <w:rFonts w:ascii="Arial" w:hAnsi="Arial" w:cs="Arial"/>
        </w:rPr>
        <w:t xml:space="preserve">m in </w:t>
      </w:r>
      <w:r w:rsidR="006E4759">
        <w:rPr>
          <w:rFonts w:ascii="Arial" w:hAnsi="Arial" w:cs="Arial"/>
        </w:rPr>
        <w:t>202</w:t>
      </w:r>
      <w:r w:rsidR="0016630D">
        <w:rPr>
          <w:rFonts w:ascii="Arial" w:hAnsi="Arial" w:cs="Arial"/>
        </w:rPr>
        <w:t>5</w:t>
      </w:r>
      <w:r w:rsidR="006E4759">
        <w:rPr>
          <w:rFonts w:ascii="Arial" w:hAnsi="Arial" w:cs="Arial"/>
        </w:rPr>
        <w:t>/2</w:t>
      </w:r>
      <w:r w:rsidR="0016630D">
        <w:rPr>
          <w:rFonts w:ascii="Arial" w:hAnsi="Arial" w:cs="Arial"/>
        </w:rPr>
        <w:t>6</w:t>
      </w:r>
      <w:r w:rsidRPr="001A58ED">
        <w:rPr>
          <w:rFonts w:ascii="Arial" w:hAnsi="Arial" w:cs="Arial"/>
        </w:rPr>
        <w:t>:</w:t>
      </w:r>
    </w:p>
    <w:tbl>
      <w:tblPr>
        <w:tblW w:w="0" w:type="auto"/>
        <w:jc w:val="center"/>
        <w:tblCellMar>
          <w:left w:w="113" w:type="dxa"/>
          <w:right w:w="113" w:type="dxa"/>
        </w:tblCellMar>
        <w:tblLook w:val="04A0" w:firstRow="1" w:lastRow="0" w:firstColumn="1" w:lastColumn="0" w:noHBand="0" w:noVBand="1"/>
      </w:tblPr>
      <w:tblGrid>
        <w:gridCol w:w="3063"/>
        <w:gridCol w:w="1058"/>
        <w:gridCol w:w="655"/>
      </w:tblGrid>
      <w:tr w:rsidR="004726A1" w:rsidRPr="001A58ED" w14:paraId="03C072A9" w14:textId="77777777" w:rsidTr="00837725">
        <w:trPr>
          <w:trHeight w:val="491"/>
          <w:jc w:val="center"/>
        </w:trPr>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522C198B" w14:textId="5737947E" w:rsidR="004726A1" w:rsidRPr="001A58ED" w:rsidRDefault="004726A1" w:rsidP="00837725">
            <w:pPr>
              <w:jc w:val="both"/>
              <w:rPr>
                <w:rFonts w:ascii="Arial" w:hAnsi="Arial" w:cs="Arial"/>
                <w:color w:val="000000"/>
              </w:rPr>
            </w:pPr>
            <w:r w:rsidRPr="001A58ED">
              <w:rPr>
                <w:rFonts w:ascii="Arial" w:hAnsi="Arial" w:cs="Arial"/>
                <w:color w:val="000000"/>
                <w:lang w:val="en-US"/>
              </w:rPr>
              <w:t>Years to maturity from 1.4.2</w:t>
            </w:r>
            <w:r w:rsidR="00370DDB">
              <w:rPr>
                <w:rFonts w:ascii="Arial" w:hAnsi="Arial" w:cs="Arial"/>
                <w:color w:val="000000"/>
                <w:lang w:val="en-US"/>
              </w:rPr>
              <w:t>6</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00DCD2ED" w14:textId="77777777" w:rsidR="004726A1" w:rsidRPr="001A58ED" w:rsidRDefault="004726A1" w:rsidP="00837725">
            <w:pPr>
              <w:jc w:val="center"/>
              <w:rPr>
                <w:rFonts w:ascii="Arial" w:hAnsi="Arial" w:cs="Arial"/>
                <w:color w:val="000000"/>
              </w:rPr>
            </w:pPr>
            <w:r w:rsidRPr="001A58ED">
              <w:rPr>
                <w:rFonts w:ascii="Arial" w:hAnsi="Arial" w:cs="Arial"/>
                <w:color w:val="000000"/>
                <w:lang w:val="en-US"/>
              </w:rPr>
              <w:t>Debt £m</w:t>
            </w:r>
          </w:p>
        </w:tc>
        <w:tc>
          <w:tcPr>
            <w:tcW w:w="0" w:type="auto"/>
            <w:vMerge w:val="restart"/>
            <w:tcBorders>
              <w:top w:val="single" w:sz="8" w:space="0" w:color="auto"/>
              <w:left w:val="single" w:sz="8" w:space="0" w:color="auto"/>
              <w:bottom w:val="single" w:sz="8" w:space="0" w:color="000000"/>
              <w:right w:val="single" w:sz="8" w:space="0" w:color="auto"/>
            </w:tcBorders>
            <w:vAlign w:val="center"/>
            <w:hideMark/>
          </w:tcPr>
          <w:p w14:paraId="32947104" w14:textId="77777777" w:rsidR="004726A1" w:rsidRPr="001A58ED" w:rsidRDefault="004726A1" w:rsidP="00837725">
            <w:pPr>
              <w:jc w:val="center"/>
              <w:rPr>
                <w:rFonts w:ascii="Arial" w:hAnsi="Arial" w:cs="Arial"/>
                <w:color w:val="000000"/>
              </w:rPr>
            </w:pPr>
            <w:r w:rsidRPr="001A58ED">
              <w:rPr>
                <w:rFonts w:ascii="Arial" w:hAnsi="Arial" w:cs="Arial"/>
                <w:color w:val="000000"/>
                <w:lang w:val="en-US"/>
              </w:rPr>
              <w:t>%</w:t>
            </w:r>
          </w:p>
        </w:tc>
      </w:tr>
      <w:tr w:rsidR="004726A1" w:rsidRPr="001A58ED" w14:paraId="5EE432E5" w14:textId="77777777" w:rsidTr="00837725">
        <w:trPr>
          <w:trHeight w:val="300"/>
          <w:jc w:val="center"/>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08FB71F6" w14:textId="77777777" w:rsidR="004726A1" w:rsidRPr="001A58ED" w:rsidRDefault="004726A1" w:rsidP="00837725">
            <w:pPr>
              <w:rPr>
                <w:rFonts w:ascii="Arial" w:hAnsi="Arial" w:cs="Arial"/>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314F9ACF" w14:textId="77777777" w:rsidR="004726A1" w:rsidRPr="001A58ED" w:rsidRDefault="004726A1" w:rsidP="00837725">
            <w:pPr>
              <w:jc w:val="right"/>
              <w:rPr>
                <w:rFonts w:ascii="Arial" w:hAnsi="Arial" w:cs="Arial"/>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14:paraId="55F2CE61" w14:textId="77777777" w:rsidR="004726A1" w:rsidRPr="001A58ED" w:rsidRDefault="004726A1" w:rsidP="00837725">
            <w:pPr>
              <w:rPr>
                <w:rFonts w:ascii="Arial" w:hAnsi="Arial" w:cs="Arial"/>
                <w:color w:val="000000"/>
              </w:rPr>
            </w:pPr>
          </w:p>
        </w:tc>
      </w:tr>
      <w:tr w:rsidR="004726A1" w:rsidRPr="001A58ED" w14:paraId="16F1940F" w14:textId="77777777" w:rsidTr="00837725">
        <w:trPr>
          <w:trHeight w:val="320"/>
          <w:jc w:val="center"/>
        </w:trPr>
        <w:tc>
          <w:tcPr>
            <w:tcW w:w="0" w:type="auto"/>
            <w:tcBorders>
              <w:top w:val="nil"/>
              <w:left w:val="single" w:sz="8" w:space="0" w:color="auto"/>
              <w:bottom w:val="single" w:sz="8" w:space="0" w:color="auto"/>
              <w:right w:val="single" w:sz="8" w:space="0" w:color="auto"/>
            </w:tcBorders>
            <w:vAlign w:val="center"/>
            <w:hideMark/>
          </w:tcPr>
          <w:p w14:paraId="738160A4" w14:textId="77777777" w:rsidR="004726A1" w:rsidRPr="001A58ED" w:rsidRDefault="004726A1" w:rsidP="00837725">
            <w:pPr>
              <w:jc w:val="both"/>
              <w:rPr>
                <w:rFonts w:ascii="Arial" w:hAnsi="Arial" w:cs="Arial"/>
                <w:color w:val="000000"/>
              </w:rPr>
            </w:pPr>
            <w:r w:rsidRPr="001A58ED">
              <w:rPr>
                <w:rFonts w:ascii="Arial" w:hAnsi="Arial" w:cs="Arial"/>
                <w:color w:val="000000"/>
                <w:lang w:val="en-US"/>
              </w:rPr>
              <w:t>Under 1 Year</w:t>
            </w:r>
          </w:p>
        </w:tc>
        <w:tc>
          <w:tcPr>
            <w:tcW w:w="0" w:type="auto"/>
            <w:tcBorders>
              <w:top w:val="nil"/>
              <w:left w:val="nil"/>
              <w:bottom w:val="single" w:sz="8" w:space="0" w:color="auto"/>
              <w:right w:val="single" w:sz="8" w:space="0" w:color="auto"/>
            </w:tcBorders>
            <w:vAlign w:val="center"/>
            <w:hideMark/>
          </w:tcPr>
          <w:p w14:paraId="45657188" w14:textId="5DC9B1E6" w:rsidR="004726A1" w:rsidRPr="001A58ED" w:rsidRDefault="00370DDB" w:rsidP="00837725">
            <w:pPr>
              <w:jc w:val="center"/>
              <w:rPr>
                <w:rFonts w:ascii="Arial" w:hAnsi="Arial" w:cs="Arial"/>
                <w:color w:val="000000"/>
              </w:rPr>
            </w:pPr>
            <w:r>
              <w:rPr>
                <w:rFonts w:ascii="Arial" w:hAnsi="Arial" w:cs="Arial"/>
                <w:color w:val="000000"/>
              </w:rPr>
              <w:t>77</w:t>
            </w:r>
            <w:r w:rsidR="004726A1" w:rsidRPr="001A58ED">
              <w:rPr>
                <w:rFonts w:ascii="Arial" w:hAnsi="Arial" w:cs="Arial"/>
                <w:color w:val="000000"/>
              </w:rPr>
              <w:t>.</w:t>
            </w:r>
            <w:r>
              <w:rPr>
                <w:rFonts w:ascii="Arial" w:hAnsi="Arial" w:cs="Arial"/>
                <w:color w:val="000000"/>
              </w:rPr>
              <w:t>9</w:t>
            </w:r>
            <w:r w:rsidR="004726A1" w:rsidRPr="001A58ED">
              <w:rPr>
                <w:rFonts w:ascii="Arial" w:hAnsi="Arial" w:cs="Arial"/>
                <w:color w:val="000000"/>
              </w:rPr>
              <w:t>75</w:t>
            </w:r>
          </w:p>
        </w:tc>
        <w:tc>
          <w:tcPr>
            <w:tcW w:w="0" w:type="auto"/>
            <w:tcBorders>
              <w:top w:val="nil"/>
              <w:left w:val="nil"/>
              <w:bottom w:val="single" w:sz="8" w:space="0" w:color="auto"/>
              <w:right w:val="single" w:sz="8" w:space="0" w:color="auto"/>
            </w:tcBorders>
            <w:vAlign w:val="center"/>
            <w:hideMark/>
          </w:tcPr>
          <w:p w14:paraId="5FC15548" w14:textId="01B477B5" w:rsidR="004726A1" w:rsidRPr="001A58ED" w:rsidRDefault="00370DDB" w:rsidP="00837725">
            <w:pPr>
              <w:jc w:val="center"/>
              <w:rPr>
                <w:rFonts w:ascii="Arial" w:hAnsi="Arial" w:cs="Arial"/>
                <w:color w:val="000000"/>
              </w:rPr>
            </w:pPr>
            <w:r>
              <w:rPr>
                <w:rFonts w:ascii="Arial" w:hAnsi="Arial" w:cs="Arial"/>
                <w:color w:val="000000"/>
              </w:rPr>
              <w:t>62.7</w:t>
            </w:r>
          </w:p>
        </w:tc>
      </w:tr>
      <w:tr w:rsidR="004726A1" w:rsidRPr="001A58ED" w14:paraId="43AD9520" w14:textId="77777777" w:rsidTr="00837725">
        <w:trPr>
          <w:trHeight w:val="320"/>
          <w:jc w:val="center"/>
        </w:trPr>
        <w:tc>
          <w:tcPr>
            <w:tcW w:w="0" w:type="auto"/>
            <w:tcBorders>
              <w:top w:val="nil"/>
              <w:left w:val="single" w:sz="8" w:space="0" w:color="auto"/>
              <w:bottom w:val="single" w:sz="8" w:space="0" w:color="auto"/>
              <w:right w:val="single" w:sz="8" w:space="0" w:color="auto"/>
            </w:tcBorders>
            <w:vAlign w:val="center"/>
            <w:hideMark/>
          </w:tcPr>
          <w:p w14:paraId="4CC9C250" w14:textId="77777777" w:rsidR="004726A1" w:rsidRPr="001A58ED" w:rsidRDefault="004726A1" w:rsidP="00837725">
            <w:pPr>
              <w:jc w:val="both"/>
              <w:rPr>
                <w:rFonts w:ascii="Arial" w:hAnsi="Arial" w:cs="Arial"/>
                <w:color w:val="000000"/>
              </w:rPr>
            </w:pPr>
            <w:r w:rsidRPr="001A58ED">
              <w:rPr>
                <w:rFonts w:ascii="Arial" w:hAnsi="Arial" w:cs="Arial"/>
                <w:color w:val="000000"/>
                <w:lang w:val="en-US"/>
              </w:rPr>
              <w:t>1 -2 Years</w:t>
            </w:r>
          </w:p>
        </w:tc>
        <w:tc>
          <w:tcPr>
            <w:tcW w:w="0" w:type="auto"/>
            <w:tcBorders>
              <w:top w:val="nil"/>
              <w:left w:val="nil"/>
              <w:bottom w:val="single" w:sz="8" w:space="0" w:color="auto"/>
              <w:right w:val="single" w:sz="8" w:space="0" w:color="auto"/>
            </w:tcBorders>
            <w:vAlign w:val="center"/>
            <w:hideMark/>
          </w:tcPr>
          <w:p w14:paraId="7330601C" w14:textId="59F1E833" w:rsidR="004726A1" w:rsidRPr="001A58ED" w:rsidRDefault="00370DDB" w:rsidP="00837725">
            <w:pPr>
              <w:jc w:val="center"/>
              <w:rPr>
                <w:rFonts w:ascii="Arial" w:hAnsi="Arial" w:cs="Arial"/>
                <w:color w:val="000000"/>
              </w:rPr>
            </w:pPr>
            <w:r>
              <w:rPr>
                <w:rFonts w:ascii="Arial" w:hAnsi="Arial" w:cs="Arial"/>
                <w:color w:val="000000"/>
              </w:rPr>
              <w:t>2</w:t>
            </w:r>
            <w:r w:rsidR="004726A1" w:rsidRPr="001A58ED">
              <w:rPr>
                <w:rFonts w:ascii="Arial" w:hAnsi="Arial" w:cs="Arial"/>
                <w:color w:val="000000"/>
              </w:rPr>
              <w:t>.</w:t>
            </w:r>
            <w:r>
              <w:rPr>
                <w:rFonts w:ascii="Arial" w:hAnsi="Arial" w:cs="Arial"/>
                <w:color w:val="000000"/>
              </w:rPr>
              <w:t>0</w:t>
            </w:r>
            <w:r w:rsidR="004726A1" w:rsidRPr="001A58ED">
              <w:rPr>
                <w:rFonts w:ascii="Arial" w:hAnsi="Arial" w:cs="Arial"/>
                <w:color w:val="000000"/>
              </w:rPr>
              <w:t>75</w:t>
            </w:r>
          </w:p>
        </w:tc>
        <w:tc>
          <w:tcPr>
            <w:tcW w:w="0" w:type="auto"/>
            <w:tcBorders>
              <w:top w:val="nil"/>
              <w:left w:val="nil"/>
              <w:bottom w:val="single" w:sz="8" w:space="0" w:color="auto"/>
              <w:right w:val="single" w:sz="8" w:space="0" w:color="auto"/>
            </w:tcBorders>
            <w:vAlign w:val="center"/>
            <w:hideMark/>
          </w:tcPr>
          <w:p w14:paraId="21E40557" w14:textId="3FBBE478" w:rsidR="004726A1" w:rsidRPr="001A58ED" w:rsidRDefault="002E386D" w:rsidP="00837725">
            <w:pPr>
              <w:jc w:val="center"/>
              <w:rPr>
                <w:rFonts w:ascii="Arial" w:hAnsi="Arial" w:cs="Arial"/>
                <w:color w:val="000000"/>
              </w:rPr>
            </w:pPr>
            <w:r w:rsidRPr="001A58ED">
              <w:rPr>
                <w:rFonts w:ascii="Arial" w:hAnsi="Arial" w:cs="Arial"/>
                <w:color w:val="000000"/>
              </w:rPr>
              <w:t>1</w:t>
            </w:r>
            <w:r w:rsidR="004726A1" w:rsidRPr="001A58ED">
              <w:rPr>
                <w:rFonts w:ascii="Arial" w:hAnsi="Arial" w:cs="Arial"/>
                <w:color w:val="000000"/>
              </w:rPr>
              <w:t>.</w:t>
            </w:r>
            <w:r w:rsidR="00370DDB">
              <w:rPr>
                <w:rFonts w:ascii="Arial" w:hAnsi="Arial" w:cs="Arial"/>
                <w:color w:val="000000"/>
              </w:rPr>
              <w:t>7</w:t>
            </w:r>
          </w:p>
        </w:tc>
      </w:tr>
      <w:tr w:rsidR="004726A1" w:rsidRPr="001A58ED" w14:paraId="6961B565" w14:textId="77777777" w:rsidTr="00837725">
        <w:trPr>
          <w:trHeight w:val="320"/>
          <w:jc w:val="center"/>
        </w:trPr>
        <w:tc>
          <w:tcPr>
            <w:tcW w:w="0" w:type="auto"/>
            <w:tcBorders>
              <w:top w:val="nil"/>
              <w:left w:val="single" w:sz="8" w:space="0" w:color="auto"/>
              <w:bottom w:val="single" w:sz="8" w:space="0" w:color="auto"/>
              <w:right w:val="single" w:sz="8" w:space="0" w:color="auto"/>
            </w:tcBorders>
            <w:vAlign w:val="center"/>
            <w:hideMark/>
          </w:tcPr>
          <w:p w14:paraId="753EC124" w14:textId="77777777" w:rsidR="004726A1" w:rsidRPr="001A58ED" w:rsidRDefault="004726A1" w:rsidP="00837725">
            <w:pPr>
              <w:jc w:val="both"/>
              <w:rPr>
                <w:rFonts w:ascii="Arial" w:hAnsi="Arial" w:cs="Arial"/>
                <w:color w:val="000000"/>
              </w:rPr>
            </w:pPr>
            <w:r w:rsidRPr="001A58ED">
              <w:rPr>
                <w:rFonts w:ascii="Arial" w:hAnsi="Arial" w:cs="Arial"/>
                <w:color w:val="000000"/>
                <w:lang w:val="en-US"/>
              </w:rPr>
              <w:t>2-5 years</w:t>
            </w:r>
          </w:p>
        </w:tc>
        <w:tc>
          <w:tcPr>
            <w:tcW w:w="0" w:type="auto"/>
            <w:tcBorders>
              <w:top w:val="nil"/>
              <w:left w:val="nil"/>
              <w:bottom w:val="single" w:sz="8" w:space="0" w:color="auto"/>
              <w:right w:val="single" w:sz="8" w:space="0" w:color="auto"/>
            </w:tcBorders>
            <w:vAlign w:val="center"/>
            <w:hideMark/>
          </w:tcPr>
          <w:p w14:paraId="03847E17" w14:textId="4C88E989" w:rsidR="004726A1" w:rsidRPr="001A58ED" w:rsidRDefault="004726A1" w:rsidP="00837725">
            <w:pPr>
              <w:jc w:val="center"/>
              <w:rPr>
                <w:rFonts w:ascii="Arial" w:hAnsi="Arial" w:cs="Arial"/>
                <w:color w:val="000000"/>
              </w:rPr>
            </w:pPr>
            <w:r w:rsidRPr="001A58ED">
              <w:rPr>
                <w:rFonts w:ascii="Arial" w:hAnsi="Arial" w:cs="Arial"/>
                <w:color w:val="000000"/>
              </w:rPr>
              <w:t>1</w:t>
            </w:r>
            <w:r w:rsidR="00370DDB">
              <w:rPr>
                <w:rFonts w:ascii="Arial" w:hAnsi="Arial" w:cs="Arial"/>
                <w:color w:val="000000"/>
              </w:rPr>
              <w:t>6</w:t>
            </w:r>
            <w:r w:rsidRPr="001A58ED">
              <w:rPr>
                <w:rFonts w:ascii="Arial" w:hAnsi="Arial" w:cs="Arial"/>
                <w:color w:val="000000"/>
              </w:rPr>
              <w:t>.225</w:t>
            </w:r>
          </w:p>
        </w:tc>
        <w:tc>
          <w:tcPr>
            <w:tcW w:w="0" w:type="auto"/>
            <w:tcBorders>
              <w:top w:val="nil"/>
              <w:left w:val="nil"/>
              <w:bottom w:val="single" w:sz="8" w:space="0" w:color="auto"/>
              <w:right w:val="single" w:sz="8" w:space="0" w:color="auto"/>
            </w:tcBorders>
            <w:vAlign w:val="center"/>
            <w:hideMark/>
          </w:tcPr>
          <w:p w14:paraId="0CE5DD26" w14:textId="70A437E9" w:rsidR="004726A1" w:rsidRPr="001A58ED" w:rsidRDefault="00C96740" w:rsidP="00837725">
            <w:pPr>
              <w:jc w:val="center"/>
              <w:rPr>
                <w:rFonts w:ascii="Arial" w:hAnsi="Arial" w:cs="Arial"/>
                <w:color w:val="000000"/>
              </w:rPr>
            </w:pPr>
            <w:r>
              <w:rPr>
                <w:rFonts w:ascii="Arial" w:hAnsi="Arial" w:cs="Arial"/>
                <w:color w:val="000000"/>
              </w:rPr>
              <w:t>13.0</w:t>
            </w:r>
          </w:p>
        </w:tc>
      </w:tr>
      <w:tr w:rsidR="004726A1" w:rsidRPr="001A58ED" w14:paraId="18E27B89" w14:textId="77777777" w:rsidTr="00837725">
        <w:trPr>
          <w:trHeight w:val="320"/>
          <w:jc w:val="center"/>
        </w:trPr>
        <w:tc>
          <w:tcPr>
            <w:tcW w:w="0" w:type="auto"/>
            <w:tcBorders>
              <w:top w:val="nil"/>
              <w:left w:val="single" w:sz="8" w:space="0" w:color="auto"/>
              <w:bottom w:val="single" w:sz="8" w:space="0" w:color="auto"/>
              <w:right w:val="single" w:sz="8" w:space="0" w:color="auto"/>
            </w:tcBorders>
            <w:vAlign w:val="center"/>
            <w:hideMark/>
          </w:tcPr>
          <w:p w14:paraId="6478E58A" w14:textId="77777777" w:rsidR="004726A1" w:rsidRPr="001A58ED" w:rsidRDefault="004726A1" w:rsidP="00837725">
            <w:pPr>
              <w:jc w:val="both"/>
              <w:rPr>
                <w:rFonts w:ascii="Arial" w:hAnsi="Arial" w:cs="Arial"/>
                <w:color w:val="000000"/>
              </w:rPr>
            </w:pPr>
            <w:r w:rsidRPr="001A58ED">
              <w:rPr>
                <w:rFonts w:ascii="Arial" w:hAnsi="Arial" w:cs="Arial"/>
                <w:color w:val="000000"/>
                <w:lang w:val="en-US"/>
              </w:rPr>
              <w:t>5-10 years</w:t>
            </w:r>
          </w:p>
        </w:tc>
        <w:tc>
          <w:tcPr>
            <w:tcW w:w="0" w:type="auto"/>
            <w:tcBorders>
              <w:top w:val="nil"/>
              <w:left w:val="nil"/>
              <w:bottom w:val="single" w:sz="8" w:space="0" w:color="auto"/>
              <w:right w:val="single" w:sz="8" w:space="0" w:color="auto"/>
            </w:tcBorders>
            <w:vAlign w:val="center"/>
            <w:hideMark/>
          </w:tcPr>
          <w:p w14:paraId="0D0AD706" w14:textId="6BEF4EB2" w:rsidR="004726A1" w:rsidRPr="001A58ED" w:rsidRDefault="004726A1" w:rsidP="00837725">
            <w:pPr>
              <w:jc w:val="center"/>
              <w:rPr>
                <w:rFonts w:ascii="Arial" w:hAnsi="Arial" w:cs="Arial"/>
                <w:color w:val="000000"/>
              </w:rPr>
            </w:pPr>
            <w:r w:rsidRPr="001A58ED">
              <w:rPr>
                <w:rFonts w:ascii="Arial" w:hAnsi="Arial" w:cs="Arial"/>
                <w:color w:val="000000"/>
              </w:rPr>
              <w:t>1</w:t>
            </w:r>
            <w:r w:rsidR="00370DDB">
              <w:rPr>
                <w:rFonts w:ascii="Arial" w:hAnsi="Arial" w:cs="Arial"/>
                <w:color w:val="000000"/>
              </w:rPr>
              <w:t>4</w:t>
            </w:r>
            <w:r w:rsidRPr="001A58ED">
              <w:rPr>
                <w:rFonts w:ascii="Arial" w:hAnsi="Arial" w:cs="Arial"/>
                <w:color w:val="000000"/>
              </w:rPr>
              <w:t>.375</w:t>
            </w:r>
          </w:p>
        </w:tc>
        <w:tc>
          <w:tcPr>
            <w:tcW w:w="0" w:type="auto"/>
            <w:tcBorders>
              <w:top w:val="nil"/>
              <w:left w:val="nil"/>
              <w:bottom w:val="single" w:sz="8" w:space="0" w:color="auto"/>
              <w:right w:val="single" w:sz="8" w:space="0" w:color="auto"/>
            </w:tcBorders>
            <w:vAlign w:val="center"/>
            <w:hideMark/>
          </w:tcPr>
          <w:p w14:paraId="73E7A644" w14:textId="0AA02E4C" w:rsidR="004726A1" w:rsidRPr="001A58ED" w:rsidRDefault="004726A1" w:rsidP="00837725">
            <w:pPr>
              <w:jc w:val="center"/>
              <w:rPr>
                <w:rFonts w:ascii="Arial" w:hAnsi="Arial" w:cs="Arial"/>
                <w:color w:val="000000"/>
              </w:rPr>
            </w:pPr>
            <w:r w:rsidRPr="001A58ED">
              <w:rPr>
                <w:rFonts w:ascii="Arial" w:hAnsi="Arial" w:cs="Arial"/>
                <w:color w:val="000000"/>
              </w:rPr>
              <w:t>1</w:t>
            </w:r>
            <w:r w:rsidR="00C96740">
              <w:rPr>
                <w:rFonts w:ascii="Arial" w:hAnsi="Arial" w:cs="Arial"/>
                <w:color w:val="000000"/>
              </w:rPr>
              <w:t>1.5</w:t>
            </w:r>
          </w:p>
        </w:tc>
      </w:tr>
      <w:tr w:rsidR="004726A1" w:rsidRPr="001A58ED" w14:paraId="7FA006FA" w14:textId="77777777" w:rsidTr="00837725">
        <w:trPr>
          <w:trHeight w:val="320"/>
          <w:jc w:val="center"/>
        </w:trPr>
        <w:tc>
          <w:tcPr>
            <w:tcW w:w="0" w:type="auto"/>
            <w:tcBorders>
              <w:top w:val="nil"/>
              <w:left w:val="single" w:sz="8" w:space="0" w:color="auto"/>
              <w:bottom w:val="single" w:sz="8" w:space="0" w:color="auto"/>
              <w:right w:val="single" w:sz="8" w:space="0" w:color="auto"/>
            </w:tcBorders>
            <w:vAlign w:val="center"/>
            <w:hideMark/>
          </w:tcPr>
          <w:p w14:paraId="43AA01EC" w14:textId="77777777" w:rsidR="004726A1" w:rsidRPr="001A58ED" w:rsidRDefault="004726A1" w:rsidP="00837725">
            <w:pPr>
              <w:jc w:val="both"/>
              <w:rPr>
                <w:rFonts w:ascii="Arial" w:hAnsi="Arial" w:cs="Arial"/>
                <w:color w:val="000000"/>
              </w:rPr>
            </w:pPr>
            <w:r w:rsidRPr="001A58ED">
              <w:rPr>
                <w:rFonts w:ascii="Arial" w:hAnsi="Arial" w:cs="Arial"/>
                <w:color w:val="000000"/>
                <w:lang w:val="en-US"/>
              </w:rPr>
              <w:t>Over 10 years</w:t>
            </w:r>
          </w:p>
        </w:tc>
        <w:tc>
          <w:tcPr>
            <w:tcW w:w="0" w:type="auto"/>
            <w:tcBorders>
              <w:top w:val="nil"/>
              <w:left w:val="nil"/>
              <w:bottom w:val="single" w:sz="8" w:space="0" w:color="auto"/>
              <w:right w:val="single" w:sz="8" w:space="0" w:color="auto"/>
            </w:tcBorders>
            <w:vAlign w:val="center"/>
            <w:hideMark/>
          </w:tcPr>
          <w:p w14:paraId="6C189BB0" w14:textId="169FC575" w:rsidR="004726A1" w:rsidRPr="001A58ED" w:rsidRDefault="004726A1" w:rsidP="00837725">
            <w:pPr>
              <w:jc w:val="center"/>
              <w:rPr>
                <w:rFonts w:ascii="Arial" w:hAnsi="Arial" w:cs="Arial"/>
                <w:color w:val="000000"/>
              </w:rPr>
            </w:pPr>
            <w:r w:rsidRPr="001A58ED">
              <w:rPr>
                <w:rFonts w:ascii="Arial" w:hAnsi="Arial" w:cs="Arial"/>
                <w:color w:val="000000"/>
              </w:rPr>
              <w:t>1</w:t>
            </w:r>
            <w:r w:rsidR="00370DDB">
              <w:rPr>
                <w:rFonts w:ascii="Arial" w:hAnsi="Arial" w:cs="Arial"/>
                <w:color w:val="000000"/>
              </w:rPr>
              <w:t>3.763</w:t>
            </w:r>
          </w:p>
        </w:tc>
        <w:tc>
          <w:tcPr>
            <w:tcW w:w="0" w:type="auto"/>
            <w:tcBorders>
              <w:top w:val="nil"/>
              <w:left w:val="nil"/>
              <w:bottom w:val="single" w:sz="8" w:space="0" w:color="auto"/>
              <w:right w:val="single" w:sz="8" w:space="0" w:color="auto"/>
            </w:tcBorders>
            <w:vAlign w:val="center"/>
            <w:hideMark/>
          </w:tcPr>
          <w:p w14:paraId="0719B0CB" w14:textId="14DD7C24" w:rsidR="004726A1" w:rsidRPr="001A58ED" w:rsidRDefault="00C96740" w:rsidP="00837725">
            <w:pPr>
              <w:jc w:val="center"/>
              <w:rPr>
                <w:rFonts w:ascii="Arial" w:hAnsi="Arial" w:cs="Arial"/>
                <w:color w:val="000000"/>
              </w:rPr>
            </w:pPr>
            <w:r>
              <w:rPr>
                <w:rFonts w:ascii="Arial" w:hAnsi="Arial" w:cs="Arial"/>
                <w:color w:val="000000"/>
              </w:rPr>
              <w:t>11.1</w:t>
            </w:r>
          </w:p>
        </w:tc>
      </w:tr>
    </w:tbl>
    <w:p w14:paraId="25CD46D6" w14:textId="77777777" w:rsidR="00830B7F" w:rsidRPr="001A58ED" w:rsidRDefault="00830B7F" w:rsidP="00830B7F">
      <w:pPr>
        <w:spacing w:after="120" w:line="240" w:lineRule="auto"/>
        <w:ind w:left="792"/>
        <w:rPr>
          <w:rFonts w:ascii="Arial" w:eastAsia="Times New Roman" w:hAnsi="Arial" w:cs="Arial"/>
          <w:lang w:eastAsia="en-GB"/>
        </w:rPr>
      </w:pPr>
    </w:p>
    <w:p w14:paraId="7F913945" w14:textId="77777777" w:rsidR="00193B6F" w:rsidRDefault="00193B6F">
      <w:pPr>
        <w:spacing w:after="0" w:line="240" w:lineRule="auto"/>
        <w:rPr>
          <w:rFonts w:ascii="Arial" w:eastAsia="Times New Roman" w:hAnsi="Arial" w:cs="Arial"/>
          <w:lang w:eastAsia="en-GB"/>
        </w:rPr>
      </w:pPr>
      <w:r>
        <w:rPr>
          <w:rFonts w:ascii="Arial" w:eastAsia="Times New Roman" w:hAnsi="Arial" w:cs="Arial"/>
          <w:lang w:eastAsia="en-GB"/>
        </w:rPr>
        <w:br w:type="page"/>
      </w:r>
    </w:p>
    <w:p w14:paraId="5E7545F1" w14:textId="607B91B2" w:rsidR="00D33DFE" w:rsidRDefault="00830B7F" w:rsidP="00657C97">
      <w:pPr>
        <w:pStyle w:val="ListParagraph"/>
        <w:numPr>
          <w:ilvl w:val="1"/>
          <w:numId w:val="6"/>
        </w:numPr>
        <w:spacing w:after="120" w:line="240" w:lineRule="auto"/>
        <w:rPr>
          <w:rFonts w:ascii="Arial" w:eastAsia="Times New Roman" w:hAnsi="Arial" w:cs="Arial"/>
          <w:lang w:eastAsia="en-GB"/>
        </w:rPr>
      </w:pPr>
      <w:r w:rsidRPr="001A58ED">
        <w:rPr>
          <w:rFonts w:ascii="Arial" w:eastAsia="Times New Roman" w:hAnsi="Arial" w:cs="Arial"/>
          <w:lang w:eastAsia="en-GB"/>
        </w:rPr>
        <w:lastRenderedPageBreak/>
        <w:t xml:space="preserve">This illustrates that the portfolio does have a reasonable proportion of long-term debt to mitigate refinancing risk while taking some of the benefits of short-term borrowing. </w:t>
      </w:r>
      <w:r w:rsidR="00AC0E70">
        <w:rPr>
          <w:rFonts w:ascii="Arial" w:eastAsia="Times New Roman" w:hAnsi="Arial" w:cs="Arial"/>
          <w:lang w:eastAsia="en-GB"/>
        </w:rPr>
        <w:t xml:space="preserve"> The portfolio split will be reviewed during the year with the aim of matching best practice to obtain a more even split between short and long term maturity.</w:t>
      </w:r>
    </w:p>
    <w:p w14:paraId="246A0F0C" w14:textId="014F0395" w:rsidR="00D33DFE" w:rsidRDefault="00D33DFE">
      <w:pPr>
        <w:spacing w:after="0" w:line="240" w:lineRule="auto"/>
        <w:rPr>
          <w:rFonts w:ascii="Arial" w:eastAsia="Times New Roman" w:hAnsi="Arial" w:cs="Arial"/>
          <w:lang w:eastAsia="en-GB"/>
        </w:rPr>
      </w:pPr>
    </w:p>
    <w:p w14:paraId="270CCFAD" w14:textId="7660AE42" w:rsidR="00830B7F" w:rsidRPr="00D33DFE" w:rsidRDefault="00D33DFE" w:rsidP="00657C97">
      <w:pPr>
        <w:pStyle w:val="ListParagraph"/>
        <w:numPr>
          <w:ilvl w:val="1"/>
          <w:numId w:val="6"/>
        </w:numPr>
        <w:rPr>
          <w:rFonts w:ascii="Arial" w:eastAsia="Times New Roman" w:hAnsi="Arial" w:cs="Arial"/>
          <w:lang w:eastAsia="en-GB"/>
        </w:rPr>
      </w:pPr>
      <w:r w:rsidRPr="00D33DFE">
        <w:rPr>
          <w:rFonts w:ascii="Arial" w:eastAsia="Times New Roman" w:hAnsi="Arial" w:cs="Arial"/>
          <w:lang w:eastAsia="en-GB"/>
        </w:rPr>
        <w:t>Long-term gilt yields, and therefore interest rates payable on long-term borrowing, are expected to remain broadly stable on average, though with continued volatility, and to end the forecast period marginally lower than current levels. Yields are likely to stay higher than in the pre-quantitative tightening era, reflecting ongoing balance sheet reduction and elevated bond issuance. Short-term fluctuations are expected to persist in response to economic data releases and geopolitical developments.</w:t>
      </w:r>
      <w:r w:rsidR="00830B7F" w:rsidRPr="00D33DFE">
        <w:rPr>
          <w:rFonts w:ascii="Arial" w:eastAsia="Times New Roman" w:hAnsi="Arial" w:cs="Arial"/>
          <w:lang w:eastAsia="en-GB"/>
        </w:rPr>
        <w:t xml:space="preserve">  The situation will be constantly reviewed by the Treasury Management Team and the OPCC Chief Finance Officer.</w:t>
      </w:r>
    </w:p>
    <w:p w14:paraId="5F159DAE" w14:textId="77777777" w:rsidR="00AC0E70" w:rsidRDefault="00AC0E70" w:rsidP="00AC0E70">
      <w:pPr>
        <w:pStyle w:val="ListParagraph"/>
        <w:spacing w:after="120" w:line="240" w:lineRule="auto"/>
        <w:rPr>
          <w:rFonts w:ascii="Arial" w:eastAsia="Times New Roman" w:hAnsi="Arial" w:cs="Arial"/>
          <w:lang w:eastAsia="en-GB"/>
        </w:rPr>
      </w:pPr>
    </w:p>
    <w:p w14:paraId="013810EB" w14:textId="20F7D791" w:rsidR="004D2E4B" w:rsidRPr="001A58ED" w:rsidRDefault="004D2E4B" w:rsidP="00657C97">
      <w:pPr>
        <w:pStyle w:val="ListParagraph"/>
        <w:numPr>
          <w:ilvl w:val="1"/>
          <w:numId w:val="6"/>
        </w:numPr>
        <w:spacing w:after="120" w:line="240" w:lineRule="auto"/>
        <w:rPr>
          <w:rFonts w:ascii="Arial" w:eastAsia="Times New Roman" w:hAnsi="Arial" w:cs="Arial"/>
          <w:lang w:eastAsia="en-GB"/>
        </w:rPr>
      </w:pPr>
      <w:r w:rsidRPr="001A58ED">
        <w:rPr>
          <w:rFonts w:ascii="Arial" w:eastAsia="Times New Roman" w:hAnsi="Arial" w:cs="Arial"/>
          <w:lang w:eastAsia="en-GB"/>
        </w:rPr>
        <w:t>In undertaking borrowing the approved sources of long-term and short-term borrowing currently are:</w:t>
      </w:r>
    </w:p>
    <w:p w14:paraId="051BA15C" w14:textId="77777777" w:rsidR="00754BDF" w:rsidRDefault="004D2E4B" w:rsidP="00837725">
      <w:pPr>
        <w:pStyle w:val="ListParagraph"/>
        <w:numPr>
          <w:ilvl w:val="2"/>
          <w:numId w:val="5"/>
        </w:numPr>
        <w:spacing w:after="120" w:line="240" w:lineRule="auto"/>
        <w:rPr>
          <w:rFonts w:ascii="Arial" w:eastAsia="Times New Roman" w:hAnsi="Arial" w:cs="Arial"/>
          <w:lang w:eastAsia="en-GB"/>
        </w:rPr>
      </w:pPr>
      <w:r w:rsidRPr="00754BDF">
        <w:rPr>
          <w:rFonts w:ascii="Arial" w:eastAsia="Times New Roman" w:hAnsi="Arial" w:cs="Arial"/>
          <w:lang w:eastAsia="en-GB"/>
        </w:rPr>
        <w:t>Public Works Loan Board</w:t>
      </w:r>
    </w:p>
    <w:p w14:paraId="28986E9E" w14:textId="77777777" w:rsidR="00754BDF" w:rsidRDefault="004D2E4B" w:rsidP="00837725">
      <w:pPr>
        <w:pStyle w:val="ListParagraph"/>
        <w:numPr>
          <w:ilvl w:val="2"/>
          <w:numId w:val="5"/>
        </w:numPr>
        <w:spacing w:after="120" w:line="240" w:lineRule="auto"/>
        <w:rPr>
          <w:rFonts w:ascii="Arial" w:eastAsia="Times New Roman" w:hAnsi="Arial" w:cs="Arial"/>
          <w:lang w:eastAsia="en-GB"/>
        </w:rPr>
      </w:pPr>
      <w:r w:rsidRPr="00754BDF">
        <w:rPr>
          <w:rFonts w:ascii="Arial" w:eastAsia="Times New Roman" w:hAnsi="Arial" w:cs="Arial"/>
          <w:lang w:eastAsia="en-GB"/>
        </w:rPr>
        <w:t>UK local authorities</w:t>
      </w:r>
    </w:p>
    <w:p w14:paraId="31A94BF4" w14:textId="77777777" w:rsidR="00754BDF" w:rsidRDefault="004D2E4B" w:rsidP="00837725">
      <w:pPr>
        <w:pStyle w:val="ListParagraph"/>
        <w:numPr>
          <w:ilvl w:val="2"/>
          <w:numId w:val="5"/>
        </w:numPr>
        <w:spacing w:after="120" w:line="240" w:lineRule="auto"/>
        <w:rPr>
          <w:rFonts w:ascii="Arial" w:eastAsia="Times New Roman" w:hAnsi="Arial" w:cs="Arial"/>
          <w:lang w:eastAsia="en-GB"/>
        </w:rPr>
      </w:pPr>
      <w:r w:rsidRPr="00754BDF">
        <w:rPr>
          <w:rFonts w:ascii="Arial" w:eastAsia="Times New Roman" w:hAnsi="Arial" w:cs="Arial"/>
          <w:lang w:eastAsia="en-GB"/>
        </w:rPr>
        <w:t xml:space="preserve">any institution approved for investments. </w:t>
      </w:r>
    </w:p>
    <w:p w14:paraId="202682B9" w14:textId="77777777" w:rsidR="00754BDF" w:rsidRDefault="004D2E4B" w:rsidP="00837725">
      <w:pPr>
        <w:pStyle w:val="ListParagraph"/>
        <w:numPr>
          <w:ilvl w:val="2"/>
          <w:numId w:val="5"/>
        </w:numPr>
        <w:spacing w:after="120" w:line="240" w:lineRule="auto"/>
        <w:rPr>
          <w:rFonts w:ascii="Arial" w:eastAsia="Times New Roman" w:hAnsi="Arial" w:cs="Arial"/>
          <w:lang w:eastAsia="en-GB"/>
        </w:rPr>
      </w:pPr>
      <w:r w:rsidRPr="00754BDF">
        <w:rPr>
          <w:rFonts w:ascii="Arial" w:eastAsia="Times New Roman" w:hAnsi="Arial" w:cs="Arial"/>
          <w:lang w:eastAsia="en-GB"/>
        </w:rPr>
        <w:t>any other bank or building society authorised by the Prudential Regulation Authority to operate in the UK.</w:t>
      </w:r>
    </w:p>
    <w:p w14:paraId="00D25DB2" w14:textId="61AF60EE" w:rsidR="004D2E4B" w:rsidRDefault="004D2E4B" w:rsidP="00837725">
      <w:pPr>
        <w:pStyle w:val="ListParagraph"/>
        <w:numPr>
          <w:ilvl w:val="2"/>
          <w:numId w:val="5"/>
        </w:numPr>
        <w:spacing w:after="120" w:line="240" w:lineRule="auto"/>
        <w:rPr>
          <w:rFonts w:ascii="Arial" w:eastAsia="Times New Roman" w:hAnsi="Arial" w:cs="Arial"/>
          <w:lang w:eastAsia="en-GB"/>
        </w:rPr>
      </w:pPr>
      <w:r w:rsidRPr="00754BDF">
        <w:rPr>
          <w:rFonts w:ascii="Arial" w:eastAsia="Times New Roman" w:hAnsi="Arial" w:cs="Arial"/>
          <w:lang w:eastAsia="en-GB"/>
        </w:rPr>
        <w:t xml:space="preserve">UK public and private sector pension funds </w:t>
      </w:r>
    </w:p>
    <w:p w14:paraId="262515F1" w14:textId="77777777" w:rsidR="00754BDF" w:rsidRPr="00754BDF" w:rsidRDefault="00754BDF" w:rsidP="00754BDF">
      <w:pPr>
        <w:pStyle w:val="ListParagraph"/>
        <w:spacing w:after="120" w:line="240" w:lineRule="auto"/>
        <w:ind w:left="1080"/>
        <w:rPr>
          <w:rFonts w:ascii="Arial" w:eastAsia="Times New Roman" w:hAnsi="Arial" w:cs="Arial"/>
          <w:lang w:eastAsia="en-GB"/>
        </w:rPr>
      </w:pPr>
    </w:p>
    <w:p w14:paraId="1ABA41A0" w14:textId="77777777" w:rsidR="004D2E4B" w:rsidRPr="001A58ED" w:rsidRDefault="004D2E4B" w:rsidP="00657C97">
      <w:pPr>
        <w:pStyle w:val="ListParagraph"/>
        <w:numPr>
          <w:ilvl w:val="1"/>
          <w:numId w:val="6"/>
        </w:numPr>
        <w:rPr>
          <w:rFonts w:ascii="Arial" w:eastAsia="Times New Roman" w:hAnsi="Arial" w:cs="Arial"/>
          <w:lang w:eastAsia="en-GB"/>
        </w:rPr>
      </w:pPr>
      <w:r w:rsidRPr="001A58ED">
        <w:rPr>
          <w:rFonts w:ascii="Arial" w:eastAsia="Times New Roman" w:hAnsi="Arial" w:cs="Arial"/>
          <w:lang w:eastAsia="en-GB"/>
        </w:rPr>
        <w:t>It is proposed that this will continue. In the past the Commissioner has raised all long-term borrowing from the Public Works Loan Board, but he continues to investigate other sources of finance, such as local authority loans and bank loans, that may be available at more favourable rates.</w:t>
      </w:r>
    </w:p>
    <w:p w14:paraId="28505DD3" w14:textId="77777777" w:rsidR="004D2E4B" w:rsidRDefault="004D2E4B" w:rsidP="004D2E4B">
      <w:pPr>
        <w:spacing w:after="120" w:line="240" w:lineRule="auto"/>
        <w:rPr>
          <w:rFonts w:ascii="Arial" w:eastAsia="Times New Roman" w:hAnsi="Arial" w:cs="Arial"/>
          <w:b/>
          <w:bCs/>
          <w:lang w:eastAsia="en-GB"/>
        </w:rPr>
      </w:pPr>
      <w:r w:rsidRPr="001A58ED">
        <w:rPr>
          <w:rFonts w:ascii="Arial" w:eastAsia="Times New Roman" w:hAnsi="Arial" w:cs="Arial"/>
          <w:b/>
          <w:bCs/>
          <w:lang w:eastAsia="en-GB"/>
        </w:rPr>
        <w:t>10.</w:t>
      </w:r>
      <w:r w:rsidRPr="001A58ED">
        <w:rPr>
          <w:rFonts w:ascii="Arial" w:eastAsia="Times New Roman" w:hAnsi="Arial" w:cs="Arial"/>
          <w:b/>
          <w:bCs/>
          <w:lang w:eastAsia="en-GB"/>
        </w:rPr>
        <w:tab/>
        <w:t>Debt Restructuring</w:t>
      </w:r>
    </w:p>
    <w:p w14:paraId="2E2C39ED" w14:textId="5FA15C93" w:rsidR="004D2E4B" w:rsidRPr="001A58ED" w:rsidRDefault="004D2E4B" w:rsidP="004D2E4B">
      <w:pPr>
        <w:spacing w:after="120" w:line="240" w:lineRule="auto"/>
        <w:ind w:left="720" w:hanging="720"/>
        <w:rPr>
          <w:rFonts w:ascii="Arial" w:eastAsia="Times New Roman" w:hAnsi="Arial" w:cs="Arial"/>
          <w:lang w:eastAsia="en-GB"/>
        </w:rPr>
      </w:pPr>
      <w:r w:rsidRPr="001A58ED">
        <w:rPr>
          <w:rFonts w:ascii="Arial" w:eastAsia="Times New Roman" w:hAnsi="Arial" w:cs="Arial"/>
          <w:lang w:eastAsia="en-GB"/>
        </w:rPr>
        <w:t>10.1.</w:t>
      </w:r>
      <w:r w:rsidRPr="001A58ED">
        <w:rPr>
          <w:rFonts w:ascii="Arial" w:eastAsia="Times New Roman" w:hAnsi="Arial" w:cs="Arial"/>
          <w:lang w:eastAsia="en-GB"/>
        </w:rPr>
        <w:tab/>
        <w:t xml:space="preserve">The Chief Finance Officer, together with the Treasury management team reviews options for debt restructuring on a regular basis. A review will be undertaken in 2025 alongside Arling Close to see if a restructure is considered to be financially viable. The current policy is to utilise reserves to minimise the future borrowing requirement rather than repay debt. </w:t>
      </w:r>
    </w:p>
    <w:p w14:paraId="5E0B7D1F" w14:textId="71B6FD81" w:rsidR="00830B7F" w:rsidRPr="001A58ED" w:rsidRDefault="004D2E4B" w:rsidP="004D2E4B">
      <w:pPr>
        <w:spacing w:after="120" w:line="240" w:lineRule="auto"/>
        <w:ind w:left="720" w:hanging="720"/>
        <w:rPr>
          <w:rFonts w:ascii="Arial" w:eastAsia="Times New Roman" w:hAnsi="Arial" w:cs="Arial"/>
          <w:lang w:eastAsia="en-GB"/>
        </w:rPr>
      </w:pPr>
      <w:r w:rsidRPr="001A58ED">
        <w:rPr>
          <w:rFonts w:ascii="Arial" w:eastAsia="Times New Roman" w:hAnsi="Arial" w:cs="Arial"/>
          <w:lang w:eastAsia="en-GB"/>
        </w:rPr>
        <w:t>10.2.</w:t>
      </w:r>
      <w:r w:rsidRPr="001A58ED">
        <w:rPr>
          <w:rFonts w:ascii="Arial" w:eastAsia="Times New Roman" w:hAnsi="Arial" w:cs="Arial"/>
          <w:lang w:eastAsia="en-GB"/>
        </w:rPr>
        <w:tab/>
        <w:t>Frequent discussions will continue to take place between the Chief Finance Officer and the Treasury Management Team to monitor this situation and any future decisions on debt financing will be put through the same rigorous cost and prudence analysis that external borrowing has traditionally gone through and will be reported to the Commissioner in due course.</w:t>
      </w:r>
    </w:p>
    <w:p w14:paraId="20DDBDFD" w14:textId="77777777" w:rsidR="00D33DFE" w:rsidRDefault="00D33DFE">
      <w:pPr>
        <w:spacing w:after="0" w:line="240" w:lineRule="auto"/>
        <w:rPr>
          <w:rFonts w:ascii="Arial" w:hAnsi="Arial" w:cs="Arial"/>
          <w:b/>
        </w:rPr>
      </w:pPr>
      <w:r>
        <w:rPr>
          <w:rFonts w:ascii="Arial" w:hAnsi="Arial" w:cs="Arial"/>
          <w:b/>
        </w:rPr>
        <w:br w:type="page"/>
      </w:r>
    </w:p>
    <w:p w14:paraId="432F1B4F" w14:textId="51A8AE1C" w:rsidR="004D2E4B" w:rsidRPr="001A58ED" w:rsidRDefault="004D2E4B" w:rsidP="004D2E4B">
      <w:pPr>
        <w:keepNext/>
        <w:widowControl w:val="0"/>
        <w:spacing w:before="400"/>
        <w:jc w:val="both"/>
        <w:rPr>
          <w:rFonts w:ascii="Arial" w:hAnsi="Arial" w:cs="Arial"/>
          <w:b/>
        </w:rPr>
      </w:pPr>
      <w:r w:rsidRPr="001A58ED">
        <w:rPr>
          <w:rFonts w:ascii="Arial" w:hAnsi="Arial" w:cs="Arial"/>
          <w:b/>
        </w:rPr>
        <w:lastRenderedPageBreak/>
        <w:t>11.</w:t>
      </w:r>
      <w:r w:rsidRPr="001A58ED">
        <w:rPr>
          <w:rFonts w:ascii="Arial" w:hAnsi="Arial" w:cs="Arial"/>
          <w:b/>
        </w:rPr>
        <w:tab/>
        <w:t>Policy on Borrowing in Advance of Need</w:t>
      </w:r>
    </w:p>
    <w:p w14:paraId="01376B16" w14:textId="2649EE11" w:rsidR="001A58ED" w:rsidRDefault="001A58ED" w:rsidP="001A58ED">
      <w:pPr>
        <w:keepNext/>
        <w:widowControl w:val="0"/>
        <w:spacing w:before="400"/>
        <w:ind w:left="720" w:hanging="720"/>
        <w:jc w:val="both"/>
        <w:rPr>
          <w:rFonts w:ascii="Arial" w:hAnsi="Arial" w:cs="Arial"/>
          <w:bCs/>
        </w:rPr>
      </w:pPr>
      <w:r>
        <w:rPr>
          <w:rFonts w:ascii="Arial" w:hAnsi="Arial" w:cs="Arial"/>
          <w:bCs/>
        </w:rPr>
        <w:t>11.1.</w:t>
      </w:r>
      <w:r>
        <w:rPr>
          <w:rFonts w:ascii="Arial" w:hAnsi="Arial" w:cs="Arial"/>
          <w:bCs/>
        </w:rPr>
        <w:tab/>
      </w:r>
      <w:r w:rsidR="004D2E4B" w:rsidRPr="001A58ED">
        <w:rPr>
          <w:rFonts w:ascii="Arial" w:hAnsi="Arial" w:cs="Arial"/>
          <w:bCs/>
        </w:rPr>
        <w:t>The Commissioner will not borrow more than or in advance of need purely in order to profit from the investment of the extra sums borrowed. However advance borrowing may be taken if it is considered that current rates are more favourable than future rates and that this advantage outweighs the cost of carrying advance borrowing. Any decision to borrow in advance will be considered carefully to ensure value for money can be demonstrated and that the Commissioner can ensure the security of such funds.</w:t>
      </w:r>
    </w:p>
    <w:p w14:paraId="4EB20A13" w14:textId="77777777" w:rsidR="001A58ED" w:rsidRDefault="001A58ED" w:rsidP="001A58ED">
      <w:pPr>
        <w:keepNext/>
        <w:widowControl w:val="0"/>
        <w:spacing w:before="400"/>
        <w:ind w:left="720" w:hanging="720"/>
        <w:jc w:val="both"/>
        <w:rPr>
          <w:rFonts w:ascii="Arial" w:hAnsi="Arial" w:cs="Arial"/>
          <w:bCs/>
        </w:rPr>
      </w:pPr>
      <w:r>
        <w:rPr>
          <w:rFonts w:ascii="Arial" w:hAnsi="Arial" w:cs="Arial"/>
          <w:bCs/>
        </w:rPr>
        <w:t>11.2.</w:t>
      </w:r>
      <w:r w:rsidR="004D2E4B" w:rsidRPr="001A58ED">
        <w:rPr>
          <w:rFonts w:ascii="Arial" w:hAnsi="Arial" w:cs="Arial"/>
          <w:bCs/>
        </w:rPr>
        <w:tab/>
        <w:t>In determining whether borrowing will be undertaken in advance of need the Commissioner will:</w:t>
      </w:r>
    </w:p>
    <w:p w14:paraId="3809109E" w14:textId="3F783C44" w:rsidR="001A58ED" w:rsidRPr="00534CEC" w:rsidRDefault="004D2E4B" w:rsidP="00534CEC">
      <w:pPr>
        <w:keepNext/>
        <w:widowControl w:val="0"/>
        <w:spacing w:before="400"/>
        <w:ind w:left="720"/>
        <w:jc w:val="both"/>
        <w:rPr>
          <w:rFonts w:ascii="Arial" w:hAnsi="Arial" w:cs="Arial"/>
          <w:bCs/>
        </w:rPr>
      </w:pPr>
      <w:r w:rsidRPr="00534CEC">
        <w:rPr>
          <w:rFonts w:ascii="Arial" w:hAnsi="Arial" w:cs="Arial"/>
          <w:bCs/>
        </w:rPr>
        <w:t>Ensure that there is a clear link between the capital programme and the maturity profile of the existing debt portfolio which supports the need to take funding in advance of need.</w:t>
      </w:r>
    </w:p>
    <w:p w14:paraId="3E93D244" w14:textId="67133857" w:rsidR="00534CEC" w:rsidRPr="00534CEC" w:rsidRDefault="004D2E4B" w:rsidP="00534CEC">
      <w:pPr>
        <w:pStyle w:val="ListParagraph"/>
        <w:keepNext/>
        <w:widowControl w:val="0"/>
        <w:numPr>
          <w:ilvl w:val="0"/>
          <w:numId w:val="13"/>
        </w:numPr>
        <w:spacing w:before="400"/>
        <w:jc w:val="both"/>
        <w:rPr>
          <w:rFonts w:ascii="Arial" w:hAnsi="Arial" w:cs="Arial"/>
          <w:bCs/>
        </w:rPr>
      </w:pPr>
      <w:r w:rsidRPr="00534CEC">
        <w:rPr>
          <w:rFonts w:ascii="Arial" w:hAnsi="Arial" w:cs="Arial"/>
          <w:bCs/>
        </w:rPr>
        <w:t>Ensure the ongoing revenue liabilities created, and the implications for the future plans and budgets have been considered</w:t>
      </w:r>
      <w:r w:rsidR="00534CEC" w:rsidRPr="00534CEC">
        <w:rPr>
          <w:rFonts w:ascii="Arial" w:hAnsi="Arial" w:cs="Arial"/>
          <w:bCs/>
        </w:rPr>
        <w:t>.</w:t>
      </w:r>
    </w:p>
    <w:p w14:paraId="096614D8" w14:textId="77777777" w:rsidR="004D2E4B" w:rsidRPr="001A58ED" w:rsidRDefault="004D2E4B" w:rsidP="004D2E4B">
      <w:pPr>
        <w:pStyle w:val="ListParagraph"/>
        <w:keepNext/>
        <w:widowControl w:val="0"/>
        <w:spacing w:before="400"/>
        <w:ind w:left="1440" w:hanging="720"/>
        <w:jc w:val="both"/>
        <w:rPr>
          <w:rFonts w:ascii="Arial" w:hAnsi="Arial" w:cs="Arial"/>
          <w:bCs/>
        </w:rPr>
      </w:pPr>
      <w:r w:rsidRPr="001A58ED">
        <w:rPr>
          <w:rFonts w:ascii="Arial" w:hAnsi="Arial" w:cs="Arial"/>
          <w:bCs/>
        </w:rPr>
        <w:t>•</w:t>
      </w:r>
      <w:r w:rsidRPr="001A58ED">
        <w:rPr>
          <w:rFonts w:ascii="Arial" w:hAnsi="Arial" w:cs="Arial"/>
          <w:bCs/>
        </w:rPr>
        <w:tab/>
        <w:t>Evaluate the economic and market factors that might influence the manner and timing of any decision to borrow.</w:t>
      </w:r>
    </w:p>
    <w:p w14:paraId="3F4DCA5C" w14:textId="77777777" w:rsidR="004D2E4B" w:rsidRPr="001A58ED" w:rsidRDefault="004D2E4B" w:rsidP="00657C97">
      <w:pPr>
        <w:pStyle w:val="ListParagraph"/>
        <w:keepNext/>
        <w:widowControl w:val="0"/>
        <w:numPr>
          <w:ilvl w:val="0"/>
          <w:numId w:val="7"/>
        </w:numPr>
        <w:spacing w:before="400"/>
        <w:jc w:val="both"/>
        <w:rPr>
          <w:rFonts w:ascii="Arial" w:hAnsi="Arial" w:cs="Arial"/>
          <w:bCs/>
        </w:rPr>
      </w:pPr>
      <w:r w:rsidRPr="001A58ED">
        <w:rPr>
          <w:rFonts w:ascii="Arial" w:hAnsi="Arial" w:cs="Arial"/>
          <w:bCs/>
        </w:rPr>
        <w:t>Consider the merits and demerits of alternative forms of funding.</w:t>
      </w:r>
    </w:p>
    <w:p w14:paraId="0970BBD0" w14:textId="415C5F4E" w:rsidR="004D2E4B" w:rsidRPr="001A58ED" w:rsidRDefault="004D2E4B" w:rsidP="00657C97">
      <w:pPr>
        <w:pStyle w:val="ListParagraph"/>
        <w:keepNext/>
        <w:widowControl w:val="0"/>
        <w:numPr>
          <w:ilvl w:val="0"/>
          <w:numId w:val="7"/>
        </w:numPr>
        <w:spacing w:before="400"/>
        <w:jc w:val="both"/>
        <w:rPr>
          <w:rFonts w:ascii="Arial" w:hAnsi="Arial" w:cs="Arial"/>
          <w:bCs/>
        </w:rPr>
      </w:pPr>
      <w:r w:rsidRPr="001A58ED">
        <w:rPr>
          <w:rFonts w:ascii="Arial" w:hAnsi="Arial" w:cs="Arial"/>
          <w:bCs/>
        </w:rPr>
        <w:t>Consider the alternative interest rate bases available, the most appropriate periods to fund and repayment profiles to use.</w:t>
      </w:r>
    </w:p>
    <w:p w14:paraId="0B7FF4D9" w14:textId="3B7E1424" w:rsidR="009F7BA9" w:rsidRPr="001A58ED" w:rsidRDefault="009F7BA9" w:rsidP="009F7BA9">
      <w:pPr>
        <w:keepNext/>
        <w:widowControl w:val="0"/>
        <w:spacing w:before="400"/>
        <w:jc w:val="both"/>
        <w:rPr>
          <w:rFonts w:ascii="Arial" w:hAnsi="Arial" w:cs="Arial"/>
          <w:b/>
        </w:rPr>
      </w:pPr>
      <w:r w:rsidRPr="001A58ED">
        <w:rPr>
          <w:rFonts w:ascii="Arial" w:hAnsi="Arial" w:cs="Arial"/>
          <w:b/>
        </w:rPr>
        <w:t>12.</w:t>
      </w:r>
      <w:r w:rsidRPr="001A58ED">
        <w:rPr>
          <w:rFonts w:ascii="Arial" w:hAnsi="Arial" w:cs="Arial"/>
          <w:b/>
        </w:rPr>
        <w:tab/>
        <w:t>Treasury Management Investment Strategy</w:t>
      </w:r>
    </w:p>
    <w:p w14:paraId="46E0D57D" w14:textId="2DAA25A9" w:rsidR="009F7BA9" w:rsidRPr="001A58ED" w:rsidRDefault="009F7BA9" w:rsidP="009F7BA9">
      <w:pPr>
        <w:keepNext/>
        <w:widowControl w:val="0"/>
        <w:spacing w:before="400"/>
        <w:ind w:left="720" w:hanging="720"/>
        <w:jc w:val="both"/>
        <w:rPr>
          <w:rFonts w:ascii="Arial" w:hAnsi="Arial" w:cs="Arial"/>
          <w:bCs/>
        </w:rPr>
      </w:pPr>
      <w:r w:rsidRPr="001A58ED">
        <w:rPr>
          <w:rFonts w:ascii="Arial" w:hAnsi="Arial" w:cs="Arial"/>
          <w:bCs/>
        </w:rPr>
        <w:t>12.1.</w:t>
      </w:r>
      <w:r w:rsidRPr="001A58ED">
        <w:rPr>
          <w:rFonts w:ascii="Arial" w:hAnsi="Arial" w:cs="Arial"/>
          <w:bCs/>
        </w:rPr>
        <w:tab/>
        <w:t>The Commissioner will have regard to the MHCLG’s Guidance on Local Government Investments and the revised CIPFA Treasury Management in Public Services Code of Practice and Guidance Notes (“the CIPFA TM Code”).  The Commissioner’s investment priorities are:</w:t>
      </w:r>
    </w:p>
    <w:p w14:paraId="0196F3C5" w14:textId="77777777" w:rsidR="009F7BA9" w:rsidRPr="001A58ED" w:rsidRDefault="009F7BA9" w:rsidP="00657C97">
      <w:pPr>
        <w:pStyle w:val="ListParagraph"/>
        <w:keepNext/>
        <w:widowControl w:val="0"/>
        <w:numPr>
          <w:ilvl w:val="0"/>
          <w:numId w:val="8"/>
        </w:numPr>
        <w:spacing w:before="400"/>
        <w:jc w:val="both"/>
        <w:rPr>
          <w:rFonts w:ascii="Arial" w:hAnsi="Arial" w:cs="Arial"/>
          <w:bCs/>
        </w:rPr>
      </w:pPr>
      <w:r w:rsidRPr="001A58ED">
        <w:rPr>
          <w:rFonts w:ascii="Arial" w:hAnsi="Arial" w:cs="Arial"/>
          <w:bCs/>
        </w:rPr>
        <w:t>The security of capital and</w:t>
      </w:r>
    </w:p>
    <w:p w14:paraId="3A6B0024" w14:textId="58A3838D" w:rsidR="009F7BA9" w:rsidRPr="001A58ED" w:rsidRDefault="009F7BA9" w:rsidP="00657C97">
      <w:pPr>
        <w:pStyle w:val="ListParagraph"/>
        <w:keepNext/>
        <w:widowControl w:val="0"/>
        <w:numPr>
          <w:ilvl w:val="0"/>
          <w:numId w:val="8"/>
        </w:numPr>
        <w:spacing w:before="400"/>
        <w:jc w:val="both"/>
        <w:rPr>
          <w:rFonts w:ascii="Arial" w:hAnsi="Arial" w:cs="Arial"/>
          <w:bCs/>
        </w:rPr>
      </w:pPr>
      <w:r w:rsidRPr="001A58ED">
        <w:rPr>
          <w:rFonts w:ascii="Arial" w:hAnsi="Arial" w:cs="Arial"/>
          <w:bCs/>
        </w:rPr>
        <w:t>The liquidity of its investments.</w:t>
      </w:r>
    </w:p>
    <w:p w14:paraId="3E395927" w14:textId="01ABBEB2" w:rsidR="009F7BA9" w:rsidRPr="001A58ED" w:rsidRDefault="009F7BA9" w:rsidP="009F7BA9">
      <w:pPr>
        <w:keepNext/>
        <w:widowControl w:val="0"/>
        <w:spacing w:before="400"/>
        <w:ind w:left="720" w:hanging="720"/>
        <w:jc w:val="both"/>
        <w:rPr>
          <w:rFonts w:ascii="Arial" w:hAnsi="Arial" w:cs="Arial"/>
          <w:bCs/>
        </w:rPr>
      </w:pPr>
      <w:r w:rsidRPr="001A58ED">
        <w:rPr>
          <w:rFonts w:ascii="Arial" w:hAnsi="Arial" w:cs="Arial"/>
          <w:bCs/>
        </w:rPr>
        <w:t>12.2.</w:t>
      </w:r>
      <w:r w:rsidRPr="001A58ED">
        <w:rPr>
          <w:rFonts w:ascii="Arial" w:hAnsi="Arial" w:cs="Arial"/>
          <w:bCs/>
        </w:rPr>
        <w:tab/>
        <w:t>The Commissioner will also aim to achieve the optimum return on his investments commensurate with proper levels of security and liquidity. The risk appetite of the Commissioner is low in order to give priority to security of its investments.</w:t>
      </w:r>
    </w:p>
    <w:p w14:paraId="38A82E92" w14:textId="77777777" w:rsidR="00D33DFE" w:rsidRDefault="00D33DFE">
      <w:pPr>
        <w:spacing w:after="0" w:line="240" w:lineRule="auto"/>
        <w:rPr>
          <w:rFonts w:ascii="Arial" w:hAnsi="Arial" w:cs="Arial"/>
          <w:b/>
        </w:rPr>
      </w:pPr>
      <w:r>
        <w:rPr>
          <w:rFonts w:ascii="Arial" w:hAnsi="Arial" w:cs="Arial"/>
          <w:b/>
        </w:rPr>
        <w:br w:type="page"/>
      </w:r>
    </w:p>
    <w:p w14:paraId="782F13C1" w14:textId="77777777" w:rsidR="009F7BA9" w:rsidRPr="001A58ED" w:rsidRDefault="009F7BA9" w:rsidP="009F7BA9">
      <w:pPr>
        <w:keepNext/>
        <w:widowControl w:val="0"/>
        <w:spacing w:before="400"/>
        <w:ind w:left="720" w:hanging="720"/>
        <w:jc w:val="both"/>
        <w:rPr>
          <w:rFonts w:ascii="Arial" w:hAnsi="Arial" w:cs="Arial"/>
          <w:b/>
        </w:rPr>
      </w:pPr>
      <w:r w:rsidRPr="001A58ED">
        <w:rPr>
          <w:rFonts w:ascii="Arial" w:hAnsi="Arial" w:cs="Arial"/>
          <w:b/>
        </w:rPr>
        <w:lastRenderedPageBreak/>
        <w:t>13.</w:t>
      </w:r>
      <w:r w:rsidRPr="001A58ED">
        <w:rPr>
          <w:rFonts w:ascii="Arial" w:hAnsi="Arial" w:cs="Arial"/>
          <w:b/>
        </w:rPr>
        <w:tab/>
        <w:t>Current Investments</w:t>
      </w:r>
    </w:p>
    <w:p w14:paraId="2F111A95" w14:textId="3537519D" w:rsidR="006F604D" w:rsidRDefault="009F7BA9" w:rsidP="006F604D">
      <w:pPr>
        <w:keepNext/>
        <w:widowControl w:val="0"/>
        <w:spacing w:before="400"/>
        <w:ind w:left="720" w:hanging="720"/>
        <w:jc w:val="both"/>
        <w:rPr>
          <w:rFonts w:ascii="Arial" w:hAnsi="Arial" w:cs="Arial"/>
          <w:bCs/>
        </w:rPr>
      </w:pPr>
      <w:r w:rsidRPr="001A58ED">
        <w:rPr>
          <w:rFonts w:ascii="Arial" w:hAnsi="Arial" w:cs="Arial"/>
          <w:bCs/>
        </w:rPr>
        <w:t>13.1.</w:t>
      </w:r>
      <w:r w:rsidRPr="001A58ED">
        <w:rPr>
          <w:rFonts w:ascii="Arial" w:hAnsi="Arial" w:cs="Arial"/>
          <w:bCs/>
        </w:rPr>
        <w:tab/>
        <w:t>On 2</w:t>
      </w:r>
      <w:r w:rsidR="00F6042D">
        <w:rPr>
          <w:rFonts w:ascii="Arial" w:hAnsi="Arial" w:cs="Arial"/>
          <w:bCs/>
        </w:rPr>
        <w:t>3 March 2026</w:t>
      </w:r>
      <w:r w:rsidRPr="001A58ED">
        <w:rPr>
          <w:rFonts w:ascii="Arial" w:hAnsi="Arial" w:cs="Arial"/>
          <w:bCs/>
        </w:rPr>
        <w:t xml:space="preserve"> the Commissioner held £</w:t>
      </w:r>
      <w:r w:rsidR="00945B69">
        <w:rPr>
          <w:rFonts w:ascii="Arial" w:hAnsi="Arial" w:cs="Arial"/>
          <w:bCs/>
        </w:rPr>
        <w:t>69</w:t>
      </w:r>
      <w:r w:rsidRPr="001A58ED">
        <w:rPr>
          <w:rFonts w:ascii="Arial" w:hAnsi="Arial" w:cs="Arial"/>
          <w:bCs/>
        </w:rPr>
        <w:t>.</w:t>
      </w:r>
      <w:r w:rsidR="00945B69">
        <w:rPr>
          <w:rFonts w:ascii="Arial" w:hAnsi="Arial" w:cs="Arial"/>
          <w:bCs/>
        </w:rPr>
        <w:t>78</w:t>
      </w:r>
      <w:r w:rsidR="00F6042D">
        <w:rPr>
          <w:rFonts w:ascii="Arial" w:hAnsi="Arial" w:cs="Arial"/>
          <w:bCs/>
        </w:rPr>
        <w:t>5</w:t>
      </w:r>
      <w:r w:rsidRPr="001A58ED">
        <w:rPr>
          <w:rFonts w:ascii="Arial" w:hAnsi="Arial" w:cs="Arial"/>
          <w:bCs/>
        </w:rPr>
        <w:t>m invested funds, representing income received in advance of expenditure plus balances and reserves held.  During 2024/25 the Commissioner’s investment balance has averaged at £</w:t>
      </w:r>
      <w:r w:rsidR="00EB4996" w:rsidRPr="001A58ED">
        <w:rPr>
          <w:rFonts w:ascii="Arial" w:hAnsi="Arial" w:cs="Arial"/>
          <w:bCs/>
        </w:rPr>
        <w:t>3</w:t>
      </w:r>
      <w:r w:rsidR="00F6042D">
        <w:rPr>
          <w:rFonts w:ascii="Arial" w:hAnsi="Arial" w:cs="Arial"/>
          <w:bCs/>
        </w:rPr>
        <w:t>9</w:t>
      </w:r>
      <w:r w:rsidRPr="001A58ED">
        <w:rPr>
          <w:rFonts w:ascii="Arial" w:hAnsi="Arial" w:cs="Arial"/>
          <w:bCs/>
        </w:rPr>
        <w:t>.</w:t>
      </w:r>
      <w:r w:rsidR="00F6042D">
        <w:rPr>
          <w:rFonts w:ascii="Arial" w:hAnsi="Arial" w:cs="Arial"/>
          <w:bCs/>
        </w:rPr>
        <w:t>980</w:t>
      </w:r>
      <w:r w:rsidRPr="001A58ED">
        <w:rPr>
          <w:rFonts w:ascii="Arial" w:hAnsi="Arial" w:cs="Arial"/>
          <w:bCs/>
        </w:rPr>
        <w:t>m, with the highest balance being £</w:t>
      </w:r>
      <w:r w:rsidR="00F6042D">
        <w:rPr>
          <w:rFonts w:ascii="Arial" w:hAnsi="Arial" w:cs="Arial"/>
          <w:bCs/>
        </w:rPr>
        <w:t>105.000</w:t>
      </w:r>
      <w:r w:rsidRPr="001A58ED">
        <w:rPr>
          <w:rFonts w:ascii="Arial" w:hAnsi="Arial" w:cs="Arial"/>
          <w:bCs/>
        </w:rPr>
        <w:t>m. The Commissioner will only use very high-quality counterparties for investments.</w:t>
      </w:r>
    </w:p>
    <w:p w14:paraId="7B0596DD" w14:textId="5DFAB08E" w:rsidR="009F7BA9" w:rsidRPr="001A58ED" w:rsidRDefault="009F7BA9" w:rsidP="006F604D">
      <w:pPr>
        <w:keepNext/>
        <w:widowControl w:val="0"/>
        <w:spacing w:before="400"/>
        <w:ind w:left="720" w:hanging="720"/>
        <w:jc w:val="both"/>
        <w:rPr>
          <w:rFonts w:ascii="Arial" w:hAnsi="Arial" w:cs="Arial"/>
          <w:bCs/>
        </w:rPr>
      </w:pPr>
      <w:r w:rsidRPr="001A58ED">
        <w:rPr>
          <w:rFonts w:ascii="Arial" w:hAnsi="Arial" w:cs="Arial"/>
          <w:bCs/>
        </w:rPr>
        <w:t>13.2.</w:t>
      </w:r>
      <w:r w:rsidRPr="001A58ED">
        <w:rPr>
          <w:rFonts w:ascii="Arial" w:hAnsi="Arial" w:cs="Arial"/>
          <w:bCs/>
        </w:rPr>
        <w:tab/>
        <w:t xml:space="preserve">The Commissioner's investments are principally held with </w:t>
      </w:r>
      <w:r w:rsidR="00EB4996" w:rsidRPr="001A58ED">
        <w:rPr>
          <w:rFonts w:ascii="Arial" w:hAnsi="Arial" w:cs="Arial"/>
          <w:bCs/>
        </w:rPr>
        <w:t>DMADF</w:t>
      </w:r>
      <w:r w:rsidRPr="001A58ED">
        <w:rPr>
          <w:rFonts w:ascii="Arial" w:hAnsi="Arial" w:cs="Arial"/>
          <w:bCs/>
        </w:rPr>
        <w:t xml:space="preserve"> with the other investments being fixed term deposits with other local authorities. On </w:t>
      </w:r>
      <w:r w:rsidR="0034340E">
        <w:rPr>
          <w:rFonts w:ascii="Arial" w:hAnsi="Arial" w:cs="Arial"/>
          <w:bCs/>
        </w:rPr>
        <w:t>23</w:t>
      </w:r>
      <w:r w:rsidR="00EB4996" w:rsidRPr="001A58ED">
        <w:rPr>
          <w:rFonts w:ascii="Arial" w:hAnsi="Arial" w:cs="Arial"/>
          <w:bCs/>
        </w:rPr>
        <w:t xml:space="preserve"> </w:t>
      </w:r>
      <w:r w:rsidR="00AC0E70">
        <w:rPr>
          <w:rFonts w:ascii="Arial" w:hAnsi="Arial" w:cs="Arial"/>
          <w:bCs/>
        </w:rPr>
        <w:t>March</w:t>
      </w:r>
      <w:r w:rsidRPr="001A58ED">
        <w:rPr>
          <w:rFonts w:ascii="Arial" w:hAnsi="Arial" w:cs="Arial"/>
          <w:bCs/>
        </w:rPr>
        <w:t xml:space="preserve"> the investment balances were made up from £</w:t>
      </w:r>
      <w:r w:rsidR="00F6042D">
        <w:rPr>
          <w:rFonts w:ascii="Arial" w:hAnsi="Arial" w:cs="Arial"/>
          <w:bCs/>
        </w:rPr>
        <w:t>5</w:t>
      </w:r>
      <w:r w:rsidR="00945B69">
        <w:rPr>
          <w:rFonts w:ascii="Arial" w:hAnsi="Arial" w:cs="Arial"/>
          <w:bCs/>
        </w:rPr>
        <w:t>2</w:t>
      </w:r>
      <w:r w:rsidRPr="001A58ED">
        <w:rPr>
          <w:rFonts w:ascii="Arial" w:hAnsi="Arial" w:cs="Arial"/>
          <w:bCs/>
        </w:rPr>
        <w:t>.</w:t>
      </w:r>
      <w:r w:rsidR="00945B69">
        <w:rPr>
          <w:rFonts w:ascii="Arial" w:hAnsi="Arial" w:cs="Arial"/>
          <w:bCs/>
        </w:rPr>
        <w:t>78</w:t>
      </w:r>
      <w:r w:rsidR="00F6042D">
        <w:rPr>
          <w:rFonts w:ascii="Arial" w:hAnsi="Arial" w:cs="Arial"/>
          <w:bCs/>
        </w:rPr>
        <w:t>5</w:t>
      </w:r>
      <w:r w:rsidRPr="001A58ED">
        <w:rPr>
          <w:rFonts w:ascii="Arial" w:hAnsi="Arial" w:cs="Arial"/>
          <w:bCs/>
        </w:rPr>
        <w:t xml:space="preserve">m held with </w:t>
      </w:r>
      <w:r w:rsidR="00EB4996" w:rsidRPr="001A58ED">
        <w:rPr>
          <w:rFonts w:ascii="Arial" w:hAnsi="Arial" w:cs="Arial"/>
          <w:bCs/>
        </w:rPr>
        <w:t>the DMADF and £2m held in a call account with the Natwest</w:t>
      </w:r>
      <w:r w:rsidR="0034340E">
        <w:rPr>
          <w:rFonts w:ascii="Arial" w:hAnsi="Arial" w:cs="Arial"/>
          <w:bCs/>
        </w:rPr>
        <w:t>, alongside £15m invested with other local authorities.</w:t>
      </w:r>
    </w:p>
    <w:p w14:paraId="2079A51B" w14:textId="55234768" w:rsidR="009F7BA9" w:rsidRPr="009F7BA9" w:rsidRDefault="009F7BA9" w:rsidP="009F7BA9">
      <w:pPr>
        <w:keepNext/>
        <w:widowControl w:val="0"/>
        <w:spacing w:before="400"/>
        <w:ind w:left="720" w:hanging="720"/>
        <w:jc w:val="both"/>
        <w:rPr>
          <w:rFonts w:ascii="Arial" w:hAnsi="Arial" w:cs="Arial"/>
          <w:bCs/>
        </w:rPr>
      </w:pPr>
      <w:r w:rsidRPr="009F7BA9">
        <w:rPr>
          <w:rFonts w:ascii="Arial" w:hAnsi="Arial" w:cs="Arial"/>
          <w:bCs/>
        </w:rPr>
        <w:t>13.3.</w:t>
      </w:r>
      <w:r w:rsidRPr="009F7BA9">
        <w:rPr>
          <w:rFonts w:ascii="Arial" w:hAnsi="Arial" w:cs="Arial"/>
          <w:bCs/>
        </w:rPr>
        <w:tab/>
        <w:t xml:space="preserve">The Commissioner currently has access to </w:t>
      </w:r>
      <w:r w:rsidR="00EB4996">
        <w:rPr>
          <w:rFonts w:ascii="Arial" w:hAnsi="Arial" w:cs="Arial"/>
          <w:bCs/>
        </w:rPr>
        <w:t xml:space="preserve">the Debt Management Account Debt Management Facility. </w:t>
      </w:r>
      <w:r w:rsidRPr="009F7BA9">
        <w:rPr>
          <w:rFonts w:ascii="Arial" w:hAnsi="Arial" w:cs="Arial"/>
          <w:bCs/>
        </w:rPr>
        <w:t xml:space="preserve"> This currently pays </w:t>
      </w:r>
      <w:r w:rsidR="00F6042D">
        <w:rPr>
          <w:rFonts w:ascii="Arial" w:hAnsi="Arial" w:cs="Arial"/>
          <w:bCs/>
        </w:rPr>
        <w:t>3.7</w:t>
      </w:r>
      <w:r w:rsidRPr="009F7BA9">
        <w:rPr>
          <w:rFonts w:ascii="Arial" w:hAnsi="Arial" w:cs="Arial"/>
          <w:bCs/>
        </w:rPr>
        <w:t xml:space="preserve">%. Each working day the balance on the Commissioner's Current Account is invested in this to ensure that the interest received on surplus balances is maximised.   </w:t>
      </w:r>
      <w:r w:rsidR="00704199">
        <w:rPr>
          <w:rFonts w:ascii="Arial" w:hAnsi="Arial" w:cs="Arial"/>
          <w:bCs/>
        </w:rPr>
        <w:t>The Commissioner also holds £</w:t>
      </w:r>
      <w:r w:rsidR="0032586E">
        <w:rPr>
          <w:rFonts w:ascii="Arial" w:hAnsi="Arial" w:cs="Arial"/>
          <w:bCs/>
        </w:rPr>
        <w:t>1</w:t>
      </w:r>
      <w:r w:rsidR="00704199">
        <w:rPr>
          <w:rFonts w:ascii="Arial" w:hAnsi="Arial" w:cs="Arial"/>
          <w:bCs/>
        </w:rPr>
        <w:t xml:space="preserve">m in a call account with Natwest to cover emergencies and this currently pays an interest rate of </w:t>
      </w:r>
      <w:r w:rsidR="00704199" w:rsidRPr="000854C9">
        <w:rPr>
          <w:rFonts w:ascii="Arial" w:hAnsi="Arial" w:cs="Arial"/>
          <w:bCs/>
        </w:rPr>
        <w:t>1.</w:t>
      </w:r>
      <w:r w:rsidR="000854C9" w:rsidRPr="000854C9">
        <w:rPr>
          <w:rFonts w:ascii="Arial" w:hAnsi="Arial" w:cs="Arial"/>
          <w:bCs/>
        </w:rPr>
        <w:t>15</w:t>
      </w:r>
      <w:r w:rsidR="00704199" w:rsidRPr="000854C9">
        <w:rPr>
          <w:rFonts w:ascii="Arial" w:hAnsi="Arial" w:cs="Arial"/>
          <w:bCs/>
        </w:rPr>
        <w:t>%</w:t>
      </w:r>
    </w:p>
    <w:p w14:paraId="75BFCA5B" w14:textId="18EB432B" w:rsidR="009F7BA9" w:rsidRPr="00704199" w:rsidRDefault="009F7BA9" w:rsidP="009F7BA9">
      <w:pPr>
        <w:keepNext/>
        <w:widowControl w:val="0"/>
        <w:spacing w:before="400"/>
        <w:ind w:left="720" w:hanging="720"/>
        <w:jc w:val="both"/>
        <w:rPr>
          <w:rFonts w:ascii="Arial" w:hAnsi="Arial" w:cs="Arial"/>
          <w:bCs/>
          <w:color w:val="FF0000"/>
        </w:rPr>
      </w:pPr>
      <w:r w:rsidRPr="009F7BA9">
        <w:rPr>
          <w:rFonts w:ascii="Arial" w:hAnsi="Arial" w:cs="Arial"/>
          <w:bCs/>
        </w:rPr>
        <w:t>13.4.</w:t>
      </w:r>
      <w:r w:rsidRPr="009F7BA9">
        <w:rPr>
          <w:rFonts w:ascii="Arial" w:hAnsi="Arial" w:cs="Arial"/>
          <w:bCs/>
        </w:rPr>
        <w:tab/>
      </w:r>
      <w:r w:rsidRPr="006F604D">
        <w:rPr>
          <w:rFonts w:ascii="Arial" w:hAnsi="Arial" w:cs="Arial"/>
          <w:bCs/>
        </w:rPr>
        <w:t xml:space="preserve">The </w:t>
      </w:r>
      <w:r w:rsidR="00906E65">
        <w:rPr>
          <w:rFonts w:ascii="Arial" w:hAnsi="Arial" w:cs="Arial"/>
          <w:bCs/>
        </w:rPr>
        <w:t xml:space="preserve">total </w:t>
      </w:r>
      <w:r w:rsidRPr="006F604D">
        <w:rPr>
          <w:rFonts w:ascii="Arial" w:hAnsi="Arial" w:cs="Arial"/>
          <w:bCs/>
        </w:rPr>
        <w:t xml:space="preserve">interest earned during </w:t>
      </w:r>
      <w:r w:rsidR="00662424">
        <w:rPr>
          <w:rFonts w:ascii="Arial" w:hAnsi="Arial" w:cs="Arial"/>
          <w:bCs/>
        </w:rPr>
        <w:t>2025/26</w:t>
      </w:r>
      <w:r w:rsidRPr="006F604D">
        <w:rPr>
          <w:rFonts w:ascii="Arial" w:hAnsi="Arial" w:cs="Arial"/>
          <w:bCs/>
        </w:rPr>
        <w:t xml:space="preserve"> is £</w:t>
      </w:r>
      <w:r w:rsidR="0034340E">
        <w:rPr>
          <w:rFonts w:ascii="Arial" w:hAnsi="Arial" w:cs="Arial"/>
          <w:bCs/>
        </w:rPr>
        <w:t>2</w:t>
      </w:r>
      <w:r w:rsidRPr="006F604D">
        <w:rPr>
          <w:rFonts w:ascii="Arial" w:hAnsi="Arial" w:cs="Arial"/>
          <w:bCs/>
        </w:rPr>
        <w:t>.</w:t>
      </w:r>
      <w:r w:rsidR="00A15411">
        <w:rPr>
          <w:rFonts w:ascii="Arial" w:hAnsi="Arial" w:cs="Arial"/>
          <w:bCs/>
        </w:rPr>
        <w:t>7</w:t>
      </w:r>
      <w:r w:rsidR="00D8013F">
        <w:rPr>
          <w:rFonts w:ascii="Arial" w:hAnsi="Arial" w:cs="Arial"/>
          <w:bCs/>
        </w:rPr>
        <w:t>01</w:t>
      </w:r>
      <w:r w:rsidRPr="006F604D">
        <w:rPr>
          <w:rFonts w:ascii="Arial" w:hAnsi="Arial" w:cs="Arial"/>
          <w:bCs/>
        </w:rPr>
        <w:t xml:space="preserve">m at an annualised rate </w:t>
      </w:r>
      <w:r w:rsidRPr="000D206D">
        <w:rPr>
          <w:rFonts w:ascii="Arial" w:hAnsi="Arial" w:cs="Arial"/>
          <w:bCs/>
        </w:rPr>
        <w:t>of 4.</w:t>
      </w:r>
      <w:r w:rsidR="003D4800" w:rsidRPr="000D206D">
        <w:rPr>
          <w:rFonts w:ascii="Arial" w:hAnsi="Arial" w:cs="Arial"/>
          <w:bCs/>
        </w:rPr>
        <w:t>10</w:t>
      </w:r>
      <w:r w:rsidRPr="000D206D">
        <w:rPr>
          <w:rFonts w:ascii="Arial" w:hAnsi="Arial" w:cs="Arial"/>
          <w:bCs/>
        </w:rPr>
        <w:t>%.</w:t>
      </w:r>
      <w:r w:rsidRPr="006F604D">
        <w:rPr>
          <w:rFonts w:ascii="Arial" w:hAnsi="Arial" w:cs="Arial"/>
          <w:bCs/>
        </w:rPr>
        <w:t xml:space="preserve"> </w:t>
      </w:r>
    </w:p>
    <w:p w14:paraId="59C3052F" w14:textId="77777777" w:rsidR="009F7BA9" w:rsidRPr="009F7BA9" w:rsidRDefault="009F7BA9" w:rsidP="009F7BA9">
      <w:pPr>
        <w:keepNext/>
        <w:widowControl w:val="0"/>
        <w:spacing w:before="400"/>
        <w:ind w:left="720" w:hanging="720"/>
        <w:jc w:val="both"/>
        <w:rPr>
          <w:rFonts w:ascii="Arial" w:hAnsi="Arial" w:cs="Arial"/>
          <w:bCs/>
        </w:rPr>
      </w:pPr>
      <w:r w:rsidRPr="009F7BA9">
        <w:rPr>
          <w:rFonts w:ascii="Arial" w:hAnsi="Arial" w:cs="Arial"/>
          <w:bCs/>
        </w:rPr>
        <w:t>13.5.</w:t>
      </w:r>
      <w:r w:rsidRPr="009F7BA9">
        <w:rPr>
          <w:rFonts w:ascii="Arial" w:hAnsi="Arial" w:cs="Arial"/>
          <w:bCs/>
        </w:rPr>
        <w:tab/>
        <w:t>Investment Counterparties</w:t>
      </w:r>
    </w:p>
    <w:p w14:paraId="29AACD4B" w14:textId="45E67EC3" w:rsidR="006F604D" w:rsidRDefault="009F7BA9" w:rsidP="00D33DFE">
      <w:pPr>
        <w:keepNext/>
        <w:widowControl w:val="0"/>
        <w:spacing w:before="400"/>
        <w:ind w:left="720"/>
        <w:jc w:val="both"/>
        <w:rPr>
          <w:rFonts w:ascii="Arial" w:hAnsi="Arial" w:cs="Arial"/>
          <w:bCs/>
        </w:rPr>
      </w:pPr>
      <w:r w:rsidRPr="009F7BA9">
        <w:rPr>
          <w:rFonts w:ascii="Arial" w:hAnsi="Arial" w:cs="Arial"/>
          <w:bCs/>
        </w:rPr>
        <w:t xml:space="preserve">With the security and liquidity being key drivers of the investment strategy, it is expected that </w:t>
      </w:r>
      <w:r w:rsidR="00657C97">
        <w:rPr>
          <w:rFonts w:ascii="Arial" w:hAnsi="Arial" w:cs="Arial"/>
          <w:bCs/>
        </w:rPr>
        <w:t xml:space="preserve">the DMADF </w:t>
      </w:r>
      <w:r w:rsidRPr="009F7BA9">
        <w:rPr>
          <w:rFonts w:ascii="Arial" w:hAnsi="Arial" w:cs="Arial"/>
          <w:bCs/>
        </w:rPr>
        <w:t>will remain a key part of the investments. However, the Commissioner can invest with other local authorities. Arlingclose, the Commissioner's Treasury Management advisor, state they are "comfortable with clients making loans to UK local authorities for periods up to two years, subject to this meeting their approved strategy. For periods longer than two years we recommend that additional due diligence is undertaken prior to a loan being made."</w:t>
      </w:r>
    </w:p>
    <w:p w14:paraId="660A56DB" w14:textId="124FC4AB" w:rsidR="00D33DFE" w:rsidRPr="00D33DFE" w:rsidRDefault="00D33DFE" w:rsidP="00D33DFE">
      <w:pPr>
        <w:keepNext/>
        <w:widowControl w:val="0"/>
        <w:spacing w:before="400"/>
        <w:ind w:firstLine="720"/>
        <w:jc w:val="both"/>
        <w:rPr>
          <w:rFonts w:ascii="Arial" w:hAnsi="Arial" w:cs="Arial"/>
          <w:bCs/>
        </w:rPr>
      </w:pPr>
      <w:r w:rsidRPr="00D33DFE">
        <w:rPr>
          <w:rFonts w:ascii="Arial" w:hAnsi="Arial" w:cs="Arial"/>
          <w:bCs/>
        </w:rPr>
        <w:t>On this basis it is proposed that the investments to local authorities are limited as follows:</w:t>
      </w:r>
    </w:p>
    <w:tbl>
      <w:tblPr>
        <w:tblStyle w:val="TableGrid1"/>
        <w:tblW w:w="0" w:type="auto"/>
        <w:jc w:val="center"/>
        <w:tblLook w:val="04A0" w:firstRow="1" w:lastRow="0" w:firstColumn="1" w:lastColumn="0" w:noHBand="0" w:noVBand="1"/>
      </w:tblPr>
      <w:tblGrid>
        <w:gridCol w:w="2254"/>
        <w:gridCol w:w="2254"/>
        <w:gridCol w:w="2254"/>
        <w:gridCol w:w="2255"/>
      </w:tblGrid>
      <w:tr w:rsidR="00D33DFE" w:rsidRPr="00316D81" w14:paraId="3F3EFF60" w14:textId="77777777" w:rsidTr="00837725">
        <w:trPr>
          <w:jc w:val="center"/>
        </w:trPr>
        <w:tc>
          <w:tcPr>
            <w:tcW w:w="2254" w:type="dxa"/>
          </w:tcPr>
          <w:p w14:paraId="35B31010" w14:textId="77777777" w:rsidR="00D33DFE" w:rsidRPr="00316D81" w:rsidRDefault="00D33DFE" w:rsidP="00837725">
            <w:pPr>
              <w:rPr>
                <w:rFonts w:cs="Arial"/>
                <w:szCs w:val="24"/>
              </w:rPr>
            </w:pPr>
            <w:r w:rsidRPr="009F7BA9">
              <w:rPr>
                <w:rFonts w:cs="Arial"/>
                <w:bCs/>
              </w:rPr>
              <w:tab/>
            </w:r>
          </w:p>
        </w:tc>
        <w:tc>
          <w:tcPr>
            <w:tcW w:w="2254" w:type="dxa"/>
          </w:tcPr>
          <w:p w14:paraId="317BFCFF" w14:textId="77777777" w:rsidR="00D33DFE" w:rsidRPr="00316D81" w:rsidRDefault="00D33DFE" w:rsidP="00837725">
            <w:pPr>
              <w:jc w:val="center"/>
              <w:rPr>
                <w:rFonts w:cs="Arial"/>
                <w:szCs w:val="24"/>
              </w:rPr>
            </w:pPr>
            <w:r w:rsidRPr="00316D81">
              <w:rPr>
                <w:rFonts w:cs="Arial"/>
                <w:szCs w:val="24"/>
              </w:rPr>
              <w:t>Maximum individual investment (£m)</w:t>
            </w:r>
          </w:p>
        </w:tc>
        <w:tc>
          <w:tcPr>
            <w:tcW w:w="2254" w:type="dxa"/>
          </w:tcPr>
          <w:p w14:paraId="7CA58B8A" w14:textId="77777777" w:rsidR="00D33DFE" w:rsidRPr="00316D81" w:rsidRDefault="00D33DFE" w:rsidP="00837725">
            <w:pPr>
              <w:jc w:val="center"/>
              <w:rPr>
                <w:rFonts w:cs="Arial"/>
                <w:szCs w:val="24"/>
              </w:rPr>
            </w:pPr>
            <w:r w:rsidRPr="00316D81">
              <w:rPr>
                <w:rFonts w:cs="Arial"/>
                <w:szCs w:val="24"/>
              </w:rPr>
              <w:t>Maximum total investment (£m)</w:t>
            </w:r>
          </w:p>
        </w:tc>
        <w:tc>
          <w:tcPr>
            <w:tcW w:w="2255" w:type="dxa"/>
          </w:tcPr>
          <w:p w14:paraId="75E72338" w14:textId="77777777" w:rsidR="00D33DFE" w:rsidRPr="00316D81" w:rsidRDefault="00D33DFE" w:rsidP="00837725">
            <w:pPr>
              <w:jc w:val="center"/>
              <w:rPr>
                <w:rFonts w:cs="Arial"/>
                <w:szCs w:val="24"/>
              </w:rPr>
            </w:pPr>
            <w:r w:rsidRPr="00316D81">
              <w:rPr>
                <w:rFonts w:cs="Arial"/>
                <w:szCs w:val="24"/>
              </w:rPr>
              <w:t>Maximum period</w:t>
            </w:r>
          </w:p>
        </w:tc>
      </w:tr>
      <w:tr w:rsidR="00D33DFE" w:rsidRPr="00316D81" w14:paraId="1526ABF2" w14:textId="77777777" w:rsidTr="00837725">
        <w:trPr>
          <w:jc w:val="center"/>
        </w:trPr>
        <w:tc>
          <w:tcPr>
            <w:tcW w:w="2254" w:type="dxa"/>
          </w:tcPr>
          <w:p w14:paraId="6ED7CC3B" w14:textId="77777777" w:rsidR="00D33DFE" w:rsidRPr="00316D81" w:rsidRDefault="00D33DFE" w:rsidP="00837725">
            <w:pPr>
              <w:rPr>
                <w:rFonts w:cs="Arial"/>
                <w:szCs w:val="24"/>
              </w:rPr>
            </w:pPr>
            <w:r w:rsidRPr="00316D81">
              <w:rPr>
                <w:rFonts w:cs="Arial"/>
                <w:szCs w:val="24"/>
              </w:rPr>
              <w:t>Up to 2 years</w:t>
            </w:r>
          </w:p>
        </w:tc>
        <w:tc>
          <w:tcPr>
            <w:tcW w:w="2254" w:type="dxa"/>
            <w:vAlign w:val="center"/>
          </w:tcPr>
          <w:p w14:paraId="67C2E2C6" w14:textId="77777777" w:rsidR="00D33DFE" w:rsidRPr="00316D81" w:rsidRDefault="00D33DFE" w:rsidP="00837725">
            <w:pPr>
              <w:jc w:val="center"/>
              <w:rPr>
                <w:rFonts w:cs="Arial"/>
                <w:szCs w:val="24"/>
              </w:rPr>
            </w:pPr>
            <w:r w:rsidRPr="00316D81">
              <w:rPr>
                <w:rFonts w:cs="Arial"/>
                <w:szCs w:val="24"/>
              </w:rPr>
              <w:t>10</w:t>
            </w:r>
          </w:p>
        </w:tc>
        <w:tc>
          <w:tcPr>
            <w:tcW w:w="2254" w:type="dxa"/>
            <w:vAlign w:val="center"/>
          </w:tcPr>
          <w:p w14:paraId="3A82C323" w14:textId="77777777" w:rsidR="00D33DFE" w:rsidRPr="00316D81" w:rsidRDefault="00D33DFE" w:rsidP="00837725">
            <w:pPr>
              <w:jc w:val="center"/>
              <w:rPr>
                <w:rFonts w:cs="Arial"/>
                <w:szCs w:val="24"/>
              </w:rPr>
            </w:pPr>
            <w:r w:rsidRPr="00316D81">
              <w:rPr>
                <w:rFonts w:cs="Arial"/>
                <w:szCs w:val="24"/>
              </w:rPr>
              <w:t>250</w:t>
            </w:r>
          </w:p>
        </w:tc>
        <w:tc>
          <w:tcPr>
            <w:tcW w:w="2255" w:type="dxa"/>
            <w:vAlign w:val="center"/>
          </w:tcPr>
          <w:p w14:paraId="4584DD32" w14:textId="77777777" w:rsidR="00D33DFE" w:rsidRPr="00316D81" w:rsidRDefault="00D33DFE" w:rsidP="00837725">
            <w:pPr>
              <w:jc w:val="center"/>
              <w:rPr>
                <w:rFonts w:cs="Arial"/>
                <w:szCs w:val="24"/>
              </w:rPr>
            </w:pPr>
            <w:r w:rsidRPr="00316D81">
              <w:rPr>
                <w:rFonts w:cs="Arial"/>
                <w:szCs w:val="24"/>
              </w:rPr>
              <w:t>2 years</w:t>
            </w:r>
          </w:p>
        </w:tc>
      </w:tr>
      <w:tr w:rsidR="00D33DFE" w:rsidRPr="00316D81" w14:paraId="4A61A703" w14:textId="77777777" w:rsidTr="00837725">
        <w:trPr>
          <w:jc w:val="center"/>
        </w:trPr>
        <w:tc>
          <w:tcPr>
            <w:tcW w:w="2254" w:type="dxa"/>
          </w:tcPr>
          <w:p w14:paraId="079F2228" w14:textId="77777777" w:rsidR="00D33DFE" w:rsidRPr="00316D81" w:rsidRDefault="00D33DFE" w:rsidP="00837725">
            <w:pPr>
              <w:rPr>
                <w:rFonts w:cs="Arial"/>
                <w:szCs w:val="24"/>
              </w:rPr>
            </w:pPr>
            <w:r w:rsidRPr="00316D81">
              <w:rPr>
                <w:rFonts w:cs="Arial"/>
                <w:szCs w:val="24"/>
              </w:rPr>
              <w:t>Over 2 years</w:t>
            </w:r>
          </w:p>
        </w:tc>
        <w:tc>
          <w:tcPr>
            <w:tcW w:w="2254" w:type="dxa"/>
            <w:vAlign w:val="center"/>
          </w:tcPr>
          <w:p w14:paraId="7EEE17B1" w14:textId="77777777" w:rsidR="00D33DFE" w:rsidRPr="00316D81" w:rsidRDefault="00D33DFE" w:rsidP="00837725">
            <w:pPr>
              <w:jc w:val="center"/>
              <w:rPr>
                <w:rFonts w:cs="Arial"/>
                <w:szCs w:val="24"/>
              </w:rPr>
            </w:pPr>
            <w:r w:rsidRPr="00316D81">
              <w:rPr>
                <w:rFonts w:cs="Arial"/>
                <w:szCs w:val="24"/>
              </w:rPr>
              <w:t>10</w:t>
            </w:r>
          </w:p>
        </w:tc>
        <w:tc>
          <w:tcPr>
            <w:tcW w:w="2254" w:type="dxa"/>
            <w:vAlign w:val="center"/>
          </w:tcPr>
          <w:p w14:paraId="0F0FE63A" w14:textId="77777777" w:rsidR="00D33DFE" w:rsidRPr="00316D81" w:rsidRDefault="00D33DFE" w:rsidP="00837725">
            <w:pPr>
              <w:jc w:val="center"/>
              <w:rPr>
                <w:rFonts w:cs="Arial"/>
                <w:szCs w:val="24"/>
              </w:rPr>
            </w:pPr>
            <w:r w:rsidRPr="00316D81">
              <w:rPr>
                <w:rFonts w:cs="Arial"/>
                <w:szCs w:val="24"/>
              </w:rPr>
              <w:t>50</w:t>
            </w:r>
          </w:p>
        </w:tc>
        <w:tc>
          <w:tcPr>
            <w:tcW w:w="2255" w:type="dxa"/>
            <w:vAlign w:val="center"/>
          </w:tcPr>
          <w:p w14:paraId="6FFFFB89" w14:textId="77777777" w:rsidR="00D33DFE" w:rsidRPr="00316D81" w:rsidRDefault="00D33DFE" w:rsidP="00837725">
            <w:pPr>
              <w:jc w:val="center"/>
              <w:rPr>
                <w:rFonts w:cs="Arial"/>
                <w:szCs w:val="24"/>
              </w:rPr>
            </w:pPr>
            <w:r w:rsidRPr="00316D81">
              <w:rPr>
                <w:rFonts w:cs="Arial"/>
                <w:szCs w:val="24"/>
              </w:rPr>
              <w:t>10 years</w:t>
            </w:r>
          </w:p>
        </w:tc>
      </w:tr>
    </w:tbl>
    <w:p w14:paraId="3E93C16D" w14:textId="77777777" w:rsidR="006F604D" w:rsidRDefault="006F604D">
      <w:pPr>
        <w:spacing w:after="0" w:line="240" w:lineRule="auto"/>
        <w:rPr>
          <w:rFonts w:ascii="Arial" w:hAnsi="Arial" w:cs="Arial"/>
          <w:bCs/>
        </w:rPr>
      </w:pPr>
      <w:r>
        <w:rPr>
          <w:rFonts w:ascii="Arial" w:hAnsi="Arial" w:cs="Arial"/>
          <w:bCs/>
        </w:rPr>
        <w:br w:type="page"/>
      </w:r>
    </w:p>
    <w:p w14:paraId="4B757980" w14:textId="1898AFF0" w:rsidR="009F7BA9" w:rsidRDefault="009F7BA9" w:rsidP="00D33DFE">
      <w:pPr>
        <w:keepNext/>
        <w:widowControl w:val="0"/>
        <w:spacing w:before="400"/>
        <w:ind w:left="720" w:hanging="720"/>
        <w:jc w:val="both"/>
        <w:rPr>
          <w:rFonts w:ascii="Arial" w:hAnsi="Arial" w:cs="Arial"/>
          <w:bCs/>
        </w:rPr>
      </w:pPr>
      <w:r w:rsidRPr="009F7BA9">
        <w:rPr>
          <w:rFonts w:ascii="Arial" w:hAnsi="Arial" w:cs="Arial"/>
          <w:bCs/>
        </w:rPr>
        <w:lastRenderedPageBreak/>
        <w:t>13.6.</w:t>
      </w:r>
      <w:r w:rsidRPr="009F7BA9">
        <w:rPr>
          <w:rFonts w:ascii="Arial" w:hAnsi="Arial" w:cs="Arial"/>
          <w:bCs/>
        </w:rPr>
        <w:tab/>
        <w:t xml:space="preserve">The Commissioner may invest surplus funds with any of the counterparties in the table below, subject to the cash and time limits shown. </w:t>
      </w:r>
    </w:p>
    <w:tbl>
      <w:tblPr>
        <w:tblStyle w:val="TableGrid0"/>
        <w:tblW w:w="0" w:type="auto"/>
        <w:tblInd w:w="0" w:type="dxa"/>
        <w:tblCellMar>
          <w:right w:w="21" w:type="dxa"/>
        </w:tblCellMar>
        <w:tblLook w:val="04A0" w:firstRow="1" w:lastRow="0" w:firstColumn="1" w:lastColumn="0" w:noHBand="0" w:noVBand="1"/>
      </w:tblPr>
      <w:tblGrid>
        <w:gridCol w:w="6483"/>
        <w:gridCol w:w="576"/>
        <w:gridCol w:w="1157"/>
        <w:gridCol w:w="1107"/>
      </w:tblGrid>
      <w:tr w:rsidR="00657C97" w:rsidRPr="00316D81" w14:paraId="0CEC598D" w14:textId="77777777" w:rsidTr="00837725">
        <w:trPr>
          <w:trHeight w:val="516"/>
        </w:trPr>
        <w:tc>
          <w:tcPr>
            <w:tcW w:w="0" w:type="auto"/>
            <w:tcBorders>
              <w:top w:val="single" w:sz="4" w:space="0" w:color="000000"/>
              <w:left w:val="single" w:sz="4" w:space="0" w:color="000000"/>
              <w:bottom w:val="single" w:sz="4" w:space="0" w:color="000000"/>
              <w:right w:val="nil"/>
            </w:tcBorders>
            <w:vAlign w:val="center"/>
          </w:tcPr>
          <w:p w14:paraId="19FC93DD" w14:textId="77777777" w:rsidR="00657C97" w:rsidRPr="001A58ED" w:rsidRDefault="00657C97" w:rsidP="00837725">
            <w:pPr>
              <w:spacing w:line="259" w:lineRule="auto"/>
              <w:ind w:left="108"/>
              <w:rPr>
                <w:rFonts w:ascii="Arial" w:hAnsi="Arial" w:cs="Arial"/>
                <w:szCs w:val="24"/>
              </w:rPr>
            </w:pPr>
            <w:r w:rsidRPr="001A58ED">
              <w:rPr>
                <w:rFonts w:ascii="Arial" w:hAnsi="Arial" w:cs="Arial"/>
                <w:b/>
                <w:szCs w:val="24"/>
              </w:rPr>
              <w:t xml:space="preserve">Counterparty </w:t>
            </w:r>
          </w:p>
        </w:tc>
        <w:tc>
          <w:tcPr>
            <w:tcW w:w="0" w:type="auto"/>
            <w:tcBorders>
              <w:top w:val="single" w:sz="4" w:space="0" w:color="000000"/>
              <w:left w:val="nil"/>
              <w:bottom w:val="single" w:sz="4" w:space="0" w:color="000000"/>
              <w:right w:val="single" w:sz="4" w:space="0" w:color="000000"/>
            </w:tcBorders>
          </w:tcPr>
          <w:p w14:paraId="09C13C83" w14:textId="77777777" w:rsidR="00657C97" w:rsidRPr="001A58ED" w:rsidRDefault="00657C97" w:rsidP="00837725">
            <w:pPr>
              <w:spacing w:after="160" w:line="259" w:lineRule="auto"/>
              <w:rPr>
                <w:rFonts w:ascii="Arial" w:hAnsi="Arial" w:cs="Arial"/>
                <w:szCs w:val="24"/>
              </w:rPr>
            </w:pPr>
          </w:p>
        </w:tc>
        <w:tc>
          <w:tcPr>
            <w:tcW w:w="0" w:type="auto"/>
            <w:tcBorders>
              <w:top w:val="single" w:sz="4" w:space="0" w:color="000000"/>
              <w:left w:val="single" w:sz="4" w:space="0" w:color="000000"/>
              <w:bottom w:val="single" w:sz="4" w:space="0" w:color="000000"/>
              <w:right w:val="single" w:sz="4" w:space="0" w:color="000000"/>
            </w:tcBorders>
          </w:tcPr>
          <w:p w14:paraId="553B1C0B" w14:textId="77777777" w:rsidR="00657C97" w:rsidRPr="001A58ED" w:rsidRDefault="00657C97" w:rsidP="00837725">
            <w:pPr>
              <w:spacing w:line="259" w:lineRule="auto"/>
              <w:ind w:left="57" w:right="57"/>
              <w:jc w:val="center"/>
              <w:rPr>
                <w:rFonts w:ascii="Arial" w:hAnsi="Arial" w:cs="Arial"/>
                <w:szCs w:val="24"/>
              </w:rPr>
            </w:pPr>
            <w:r w:rsidRPr="001A58ED">
              <w:rPr>
                <w:rFonts w:ascii="Arial" w:hAnsi="Arial" w:cs="Arial"/>
                <w:b/>
                <w:szCs w:val="24"/>
              </w:rPr>
              <w:t>Cash limit</w:t>
            </w:r>
          </w:p>
        </w:tc>
        <w:tc>
          <w:tcPr>
            <w:tcW w:w="0" w:type="auto"/>
            <w:tcBorders>
              <w:top w:val="single" w:sz="4" w:space="0" w:color="000000"/>
              <w:left w:val="single" w:sz="4" w:space="0" w:color="000000"/>
              <w:bottom w:val="single" w:sz="4" w:space="0" w:color="000000"/>
              <w:right w:val="single" w:sz="4" w:space="0" w:color="000000"/>
            </w:tcBorders>
          </w:tcPr>
          <w:p w14:paraId="57AFC383" w14:textId="77777777" w:rsidR="00657C97" w:rsidRPr="001A58ED" w:rsidRDefault="00657C97" w:rsidP="00837725">
            <w:pPr>
              <w:spacing w:line="259" w:lineRule="auto"/>
              <w:ind w:left="57" w:right="57"/>
              <w:jc w:val="center"/>
              <w:rPr>
                <w:rFonts w:ascii="Arial" w:hAnsi="Arial" w:cs="Arial"/>
                <w:szCs w:val="24"/>
              </w:rPr>
            </w:pPr>
            <w:r w:rsidRPr="001A58ED">
              <w:rPr>
                <w:rFonts w:ascii="Arial" w:hAnsi="Arial" w:cs="Arial"/>
                <w:b/>
                <w:szCs w:val="24"/>
              </w:rPr>
              <w:t>Time limit</w:t>
            </w:r>
          </w:p>
        </w:tc>
      </w:tr>
      <w:tr w:rsidR="00657C97" w:rsidRPr="00316D81" w14:paraId="3363E0F4" w14:textId="77777777" w:rsidTr="00837725">
        <w:trPr>
          <w:trHeight w:val="35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2342B58" w14:textId="77777777" w:rsidR="00657C97" w:rsidRPr="001A58ED" w:rsidRDefault="00657C97" w:rsidP="00837725">
            <w:pPr>
              <w:spacing w:line="259" w:lineRule="auto"/>
              <w:ind w:left="108"/>
              <w:rPr>
                <w:rFonts w:ascii="Arial" w:hAnsi="Arial" w:cs="Arial"/>
                <w:szCs w:val="24"/>
              </w:rPr>
            </w:pPr>
            <w:r w:rsidRPr="001A58ED">
              <w:rPr>
                <w:rFonts w:ascii="Arial" w:hAnsi="Arial" w:cs="Arial"/>
                <w:szCs w:val="24"/>
              </w:rPr>
              <w:t xml:space="preserve">Secured Bank Deposits, Reverse repurchase Agreements </w:t>
            </w:r>
          </w:p>
        </w:tc>
        <w:tc>
          <w:tcPr>
            <w:tcW w:w="0" w:type="auto"/>
            <w:tcBorders>
              <w:top w:val="single" w:sz="4" w:space="0" w:color="000000"/>
              <w:left w:val="single" w:sz="4" w:space="0" w:color="000000"/>
              <w:bottom w:val="single" w:sz="4" w:space="0" w:color="000000"/>
              <w:right w:val="single" w:sz="4" w:space="0" w:color="000000"/>
            </w:tcBorders>
          </w:tcPr>
          <w:p w14:paraId="066FC6DC"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 xml:space="preserve">AAA </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92C8B04"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 xml:space="preserve">£5m each </w:t>
            </w:r>
          </w:p>
        </w:tc>
        <w:tc>
          <w:tcPr>
            <w:tcW w:w="0" w:type="auto"/>
            <w:tcBorders>
              <w:top w:val="single" w:sz="4" w:space="0" w:color="000000"/>
              <w:left w:val="single" w:sz="4" w:space="0" w:color="000000"/>
              <w:bottom w:val="single" w:sz="4" w:space="0" w:color="000000"/>
              <w:right w:val="single" w:sz="4" w:space="0" w:color="000000"/>
            </w:tcBorders>
          </w:tcPr>
          <w:p w14:paraId="0CDDC88F"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 xml:space="preserve">5 years* </w:t>
            </w:r>
          </w:p>
        </w:tc>
      </w:tr>
      <w:tr w:rsidR="00657C97" w:rsidRPr="00316D81" w14:paraId="1B2D8B9D" w14:textId="77777777" w:rsidTr="00837725">
        <w:trPr>
          <w:trHeight w:val="350"/>
        </w:trPr>
        <w:tc>
          <w:tcPr>
            <w:tcW w:w="0" w:type="auto"/>
            <w:vMerge/>
            <w:tcBorders>
              <w:top w:val="nil"/>
              <w:left w:val="single" w:sz="4" w:space="0" w:color="000000"/>
              <w:bottom w:val="nil"/>
              <w:right w:val="single" w:sz="4" w:space="0" w:color="000000"/>
            </w:tcBorders>
          </w:tcPr>
          <w:p w14:paraId="19B9C3AA" w14:textId="77777777" w:rsidR="00657C97" w:rsidRPr="001A58ED" w:rsidRDefault="00657C97" w:rsidP="00837725">
            <w:pPr>
              <w:spacing w:after="160" w:line="259" w:lineRule="auto"/>
              <w:rPr>
                <w:rFonts w:ascii="Arial" w:hAnsi="Arial" w:cs="Arial"/>
                <w:szCs w:val="24"/>
              </w:rPr>
            </w:pPr>
          </w:p>
        </w:tc>
        <w:tc>
          <w:tcPr>
            <w:tcW w:w="0" w:type="auto"/>
            <w:tcBorders>
              <w:top w:val="single" w:sz="4" w:space="0" w:color="000000"/>
              <w:left w:val="single" w:sz="4" w:space="0" w:color="000000"/>
              <w:bottom w:val="single" w:sz="4" w:space="0" w:color="000000"/>
              <w:right w:val="single" w:sz="4" w:space="0" w:color="000000"/>
            </w:tcBorders>
          </w:tcPr>
          <w:p w14:paraId="06940E21"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 xml:space="preserve">AA+ </w:t>
            </w:r>
          </w:p>
        </w:tc>
        <w:tc>
          <w:tcPr>
            <w:tcW w:w="0" w:type="auto"/>
            <w:vMerge/>
            <w:tcBorders>
              <w:top w:val="nil"/>
              <w:left w:val="single" w:sz="4" w:space="0" w:color="000000"/>
              <w:bottom w:val="nil"/>
              <w:right w:val="single" w:sz="4" w:space="0" w:color="000000"/>
            </w:tcBorders>
          </w:tcPr>
          <w:p w14:paraId="78EEB265" w14:textId="77777777" w:rsidR="00657C97" w:rsidRPr="001A58ED" w:rsidRDefault="00657C97" w:rsidP="00837725">
            <w:pPr>
              <w:spacing w:after="160" w:line="259" w:lineRule="auto"/>
              <w:ind w:left="57" w:right="57"/>
              <w:rPr>
                <w:rFonts w:ascii="Arial" w:hAnsi="Arial" w:cs="Arial"/>
                <w:szCs w:val="24"/>
              </w:rPr>
            </w:pPr>
          </w:p>
        </w:tc>
        <w:tc>
          <w:tcPr>
            <w:tcW w:w="0" w:type="auto"/>
            <w:tcBorders>
              <w:top w:val="single" w:sz="4" w:space="0" w:color="000000"/>
              <w:left w:val="single" w:sz="4" w:space="0" w:color="000000"/>
              <w:bottom w:val="single" w:sz="4" w:space="0" w:color="000000"/>
              <w:right w:val="single" w:sz="4" w:space="0" w:color="000000"/>
            </w:tcBorders>
          </w:tcPr>
          <w:p w14:paraId="783EC58C"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 xml:space="preserve">3 years* </w:t>
            </w:r>
          </w:p>
        </w:tc>
      </w:tr>
      <w:tr w:rsidR="00657C97" w:rsidRPr="00316D81" w14:paraId="107DA5E7" w14:textId="77777777" w:rsidTr="00837725">
        <w:trPr>
          <w:trHeight w:val="350"/>
        </w:trPr>
        <w:tc>
          <w:tcPr>
            <w:tcW w:w="0" w:type="auto"/>
            <w:vMerge/>
            <w:tcBorders>
              <w:top w:val="nil"/>
              <w:left w:val="single" w:sz="4" w:space="0" w:color="000000"/>
              <w:bottom w:val="nil"/>
              <w:right w:val="single" w:sz="4" w:space="0" w:color="000000"/>
            </w:tcBorders>
          </w:tcPr>
          <w:p w14:paraId="3D51D456" w14:textId="77777777" w:rsidR="00657C97" w:rsidRPr="001A58ED" w:rsidRDefault="00657C97" w:rsidP="00837725">
            <w:pPr>
              <w:spacing w:after="160" w:line="259" w:lineRule="auto"/>
              <w:rPr>
                <w:rFonts w:ascii="Arial" w:hAnsi="Arial" w:cs="Arial"/>
                <w:szCs w:val="24"/>
              </w:rPr>
            </w:pPr>
          </w:p>
        </w:tc>
        <w:tc>
          <w:tcPr>
            <w:tcW w:w="0" w:type="auto"/>
            <w:tcBorders>
              <w:top w:val="single" w:sz="4" w:space="0" w:color="000000"/>
              <w:left w:val="single" w:sz="4" w:space="0" w:color="000000"/>
              <w:bottom w:val="single" w:sz="4" w:space="0" w:color="000000"/>
              <w:right w:val="single" w:sz="4" w:space="0" w:color="000000"/>
            </w:tcBorders>
          </w:tcPr>
          <w:p w14:paraId="074BB9F8"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 xml:space="preserve">AA </w:t>
            </w:r>
          </w:p>
        </w:tc>
        <w:tc>
          <w:tcPr>
            <w:tcW w:w="0" w:type="auto"/>
            <w:vMerge/>
            <w:tcBorders>
              <w:top w:val="nil"/>
              <w:left w:val="single" w:sz="4" w:space="0" w:color="000000"/>
              <w:bottom w:val="nil"/>
              <w:right w:val="single" w:sz="4" w:space="0" w:color="000000"/>
            </w:tcBorders>
          </w:tcPr>
          <w:p w14:paraId="7F2A0095" w14:textId="77777777" w:rsidR="00657C97" w:rsidRPr="001A58ED" w:rsidRDefault="00657C97" w:rsidP="00837725">
            <w:pPr>
              <w:spacing w:after="160" w:line="259" w:lineRule="auto"/>
              <w:ind w:left="57" w:right="57"/>
              <w:rPr>
                <w:rFonts w:ascii="Arial" w:hAnsi="Arial" w:cs="Arial"/>
                <w:szCs w:val="24"/>
              </w:rPr>
            </w:pPr>
          </w:p>
        </w:tc>
        <w:tc>
          <w:tcPr>
            <w:tcW w:w="0" w:type="auto"/>
            <w:tcBorders>
              <w:top w:val="single" w:sz="4" w:space="0" w:color="000000"/>
              <w:left w:val="single" w:sz="4" w:space="0" w:color="000000"/>
              <w:bottom w:val="single" w:sz="4" w:space="0" w:color="000000"/>
              <w:right w:val="single" w:sz="4" w:space="0" w:color="000000"/>
            </w:tcBorders>
          </w:tcPr>
          <w:p w14:paraId="09655BC1"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 xml:space="preserve">2 years* </w:t>
            </w:r>
          </w:p>
        </w:tc>
      </w:tr>
      <w:tr w:rsidR="00657C97" w:rsidRPr="00316D81" w14:paraId="213929A7" w14:textId="77777777" w:rsidTr="00837725">
        <w:trPr>
          <w:trHeight w:val="348"/>
        </w:trPr>
        <w:tc>
          <w:tcPr>
            <w:tcW w:w="0" w:type="auto"/>
            <w:vMerge/>
            <w:tcBorders>
              <w:top w:val="nil"/>
              <w:left w:val="single" w:sz="4" w:space="0" w:color="000000"/>
              <w:bottom w:val="single" w:sz="4" w:space="0" w:color="000000"/>
              <w:right w:val="single" w:sz="4" w:space="0" w:color="000000"/>
            </w:tcBorders>
          </w:tcPr>
          <w:p w14:paraId="3F523788" w14:textId="77777777" w:rsidR="00657C97" w:rsidRPr="001A58ED" w:rsidRDefault="00657C97" w:rsidP="00837725">
            <w:pPr>
              <w:spacing w:after="160" w:line="259" w:lineRule="auto"/>
              <w:rPr>
                <w:rFonts w:ascii="Arial" w:hAnsi="Arial" w:cs="Arial"/>
                <w:szCs w:val="24"/>
              </w:rPr>
            </w:pPr>
          </w:p>
        </w:tc>
        <w:tc>
          <w:tcPr>
            <w:tcW w:w="0" w:type="auto"/>
            <w:tcBorders>
              <w:top w:val="single" w:sz="4" w:space="0" w:color="000000"/>
              <w:left w:val="single" w:sz="4" w:space="0" w:color="000000"/>
              <w:bottom w:val="single" w:sz="4" w:space="0" w:color="000000"/>
              <w:right w:val="single" w:sz="4" w:space="0" w:color="000000"/>
            </w:tcBorders>
          </w:tcPr>
          <w:p w14:paraId="5029211D"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 xml:space="preserve">AA- </w:t>
            </w:r>
          </w:p>
        </w:tc>
        <w:tc>
          <w:tcPr>
            <w:tcW w:w="0" w:type="auto"/>
            <w:vMerge/>
            <w:tcBorders>
              <w:top w:val="nil"/>
              <w:left w:val="single" w:sz="4" w:space="0" w:color="000000"/>
              <w:bottom w:val="single" w:sz="4" w:space="0" w:color="000000"/>
              <w:right w:val="single" w:sz="4" w:space="0" w:color="000000"/>
            </w:tcBorders>
          </w:tcPr>
          <w:p w14:paraId="54E84507" w14:textId="77777777" w:rsidR="00657C97" w:rsidRPr="001A58ED" w:rsidRDefault="00657C97" w:rsidP="00837725">
            <w:pPr>
              <w:spacing w:after="160" w:line="259" w:lineRule="auto"/>
              <w:ind w:left="57" w:right="57"/>
              <w:rPr>
                <w:rFonts w:ascii="Arial" w:hAnsi="Arial" w:cs="Arial"/>
                <w:szCs w:val="24"/>
              </w:rPr>
            </w:pPr>
          </w:p>
        </w:tc>
        <w:tc>
          <w:tcPr>
            <w:tcW w:w="0" w:type="auto"/>
            <w:tcBorders>
              <w:top w:val="single" w:sz="4" w:space="0" w:color="000000"/>
              <w:left w:val="single" w:sz="4" w:space="0" w:color="000000"/>
              <w:bottom w:val="single" w:sz="4" w:space="0" w:color="000000"/>
              <w:right w:val="single" w:sz="4" w:space="0" w:color="000000"/>
            </w:tcBorders>
          </w:tcPr>
          <w:p w14:paraId="6DAD022B"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 xml:space="preserve">2 years* </w:t>
            </w:r>
          </w:p>
        </w:tc>
      </w:tr>
      <w:tr w:rsidR="00657C97" w:rsidRPr="00316D81" w14:paraId="519175AA" w14:textId="77777777" w:rsidTr="00837725">
        <w:trPr>
          <w:trHeight w:val="516"/>
        </w:trPr>
        <w:tc>
          <w:tcPr>
            <w:tcW w:w="0" w:type="auto"/>
            <w:tcBorders>
              <w:top w:val="single" w:sz="4" w:space="0" w:color="000000"/>
              <w:left w:val="single" w:sz="4" w:space="0" w:color="000000"/>
              <w:bottom w:val="single" w:sz="4" w:space="0" w:color="000000"/>
              <w:right w:val="nil"/>
            </w:tcBorders>
          </w:tcPr>
          <w:p w14:paraId="28FFB33A" w14:textId="7BCE5D36" w:rsidR="00657C97" w:rsidRPr="001A58ED" w:rsidRDefault="00657C97" w:rsidP="00837725">
            <w:pPr>
              <w:spacing w:line="259" w:lineRule="auto"/>
              <w:ind w:left="108"/>
              <w:rPr>
                <w:rFonts w:ascii="Arial" w:hAnsi="Arial" w:cs="Arial"/>
                <w:szCs w:val="24"/>
              </w:rPr>
            </w:pPr>
            <w:r w:rsidRPr="001A58ED">
              <w:rPr>
                <w:rFonts w:ascii="Arial" w:hAnsi="Arial" w:cs="Arial"/>
                <w:szCs w:val="24"/>
              </w:rPr>
              <w:t>Call Accounts with banks and other organisations with minimum A</w:t>
            </w:r>
            <w:r w:rsidR="00D33DFE">
              <w:rPr>
                <w:rFonts w:ascii="Arial" w:hAnsi="Arial" w:cs="Arial"/>
                <w:szCs w:val="24"/>
              </w:rPr>
              <w:t>A</w:t>
            </w:r>
            <w:r w:rsidRPr="001A58ED">
              <w:rPr>
                <w:rFonts w:ascii="Arial" w:hAnsi="Arial" w:cs="Arial"/>
                <w:szCs w:val="24"/>
              </w:rPr>
              <w:t xml:space="preserve">A- rating </w:t>
            </w:r>
          </w:p>
        </w:tc>
        <w:tc>
          <w:tcPr>
            <w:tcW w:w="0" w:type="auto"/>
            <w:tcBorders>
              <w:top w:val="single" w:sz="4" w:space="0" w:color="000000"/>
              <w:left w:val="nil"/>
              <w:bottom w:val="single" w:sz="4" w:space="0" w:color="000000"/>
              <w:right w:val="single" w:sz="4" w:space="0" w:color="000000"/>
            </w:tcBorders>
          </w:tcPr>
          <w:p w14:paraId="748B7D73" w14:textId="77777777" w:rsidR="00657C97" w:rsidRPr="001A58ED" w:rsidRDefault="00657C97" w:rsidP="00837725">
            <w:pPr>
              <w:spacing w:line="259" w:lineRule="auto"/>
              <w:ind w:left="-22"/>
              <w:rPr>
                <w:rFonts w:ascii="Arial" w:hAnsi="Arial" w:cs="Arial"/>
                <w:szCs w:val="24"/>
              </w:rPr>
            </w:pPr>
            <w:r w:rsidRPr="001A58ED">
              <w:rPr>
                <w:rFonts w:ascii="Arial" w:hAnsi="Arial" w:cs="Arial"/>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Pr>
          <w:p w14:paraId="2658ACA0"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 xml:space="preserve">£10m </w:t>
            </w:r>
          </w:p>
        </w:tc>
        <w:tc>
          <w:tcPr>
            <w:tcW w:w="0" w:type="auto"/>
            <w:tcBorders>
              <w:top w:val="single" w:sz="4" w:space="0" w:color="000000"/>
              <w:left w:val="single" w:sz="4" w:space="0" w:color="000000"/>
              <w:bottom w:val="single" w:sz="4" w:space="0" w:color="000000"/>
              <w:right w:val="single" w:sz="4" w:space="0" w:color="000000"/>
            </w:tcBorders>
          </w:tcPr>
          <w:p w14:paraId="32E335BE"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 xml:space="preserve">next day </w:t>
            </w:r>
          </w:p>
        </w:tc>
      </w:tr>
      <w:tr w:rsidR="00657C97" w:rsidRPr="00316D81" w14:paraId="6DF2D14E" w14:textId="77777777" w:rsidTr="00837725">
        <w:trPr>
          <w:trHeight w:val="350"/>
        </w:trPr>
        <w:tc>
          <w:tcPr>
            <w:tcW w:w="0" w:type="auto"/>
            <w:tcBorders>
              <w:top w:val="single" w:sz="4" w:space="0" w:color="000000"/>
              <w:left w:val="single" w:sz="4" w:space="0" w:color="000000"/>
              <w:bottom w:val="single" w:sz="4" w:space="0" w:color="000000"/>
              <w:right w:val="nil"/>
            </w:tcBorders>
          </w:tcPr>
          <w:p w14:paraId="545BEB13" w14:textId="77777777" w:rsidR="00657C97" w:rsidRPr="001A58ED" w:rsidRDefault="00657C97" w:rsidP="00837725">
            <w:pPr>
              <w:spacing w:line="259" w:lineRule="auto"/>
              <w:ind w:left="108"/>
              <w:rPr>
                <w:rFonts w:ascii="Arial" w:hAnsi="Arial" w:cs="Arial"/>
                <w:szCs w:val="24"/>
              </w:rPr>
            </w:pPr>
            <w:r w:rsidRPr="001A58ED">
              <w:rPr>
                <w:rFonts w:ascii="Arial" w:hAnsi="Arial" w:cs="Arial"/>
                <w:szCs w:val="24"/>
              </w:rPr>
              <w:t xml:space="preserve">UK Central Government (irrespective of credit rating) </w:t>
            </w:r>
          </w:p>
        </w:tc>
        <w:tc>
          <w:tcPr>
            <w:tcW w:w="0" w:type="auto"/>
            <w:tcBorders>
              <w:top w:val="single" w:sz="4" w:space="0" w:color="000000"/>
              <w:left w:val="nil"/>
              <w:bottom w:val="single" w:sz="4" w:space="0" w:color="000000"/>
              <w:right w:val="single" w:sz="4" w:space="0" w:color="000000"/>
            </w:tcBorders>
          </w:tcPr>
          <w:p w14:paraId="65561C74" w14:textId="77777777" w:rsidR="00657C97" w:rsidRPr="001A58ED" w:rsidRDefault="00657C97" w:rsidP="00837725">
            <w:pPr>
              <w:spacing w:after="160" w:line="259" w:lineRule="auto"/>
              <w:rPr>
                <w:rFonts w:ascii="Arial" w:hAnsi="Arial" w:cs="Arial"/>
                <w:szCs w:val="24"/>
              </w:rPr>
            </w:pPr>
          </w:p>
        </w:tc>
        <w:tc>
          <w:tcPr>
            <w:tcW w:w="0" w:type="auto"/>
            <w:tcBorders>
              <w:top w:val="single" w:sz="4" w:space="0" w:color="000000"/>
              <w:left w:val="single" w:sz="4" w:space="0" w:color="000000"/>
              <w:bottom w:val="single" w:sz="4" w:space="0" w:color="000000"/>
              <w:right w:val="single" w:sz="4" w:space="0" w:color="000000"/>
            </w:tcBorders>
          </w:tcPr>
          <w:p w14:paraId="338E8534"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 xml:space="preserve">unlimited </w:t>
            </w:r>
          </w:p>
        </w:tc>
        <w:tc>
          <w:tcPr>
            <w:tcW w:w="0" w:type="auto"/>
            <w:tcBorders>
              <w:top w:val="single" w:sz="4" w:space="0" w:color="000000"/>
              <w:left w:val="single" w:sz="4" w:space="0" w:color="000000"/>
              <w:bottom w:val="single" w:sz="4" w:space="0" w:color="000000"/>
              <w:right w:val="single" w:sz="4" w:space="0" w:color="000000"/>
            </w:tcBorders>
          </w:tcPr>
          <w:p w14:paraId="7D98E76A"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 xml:space="preserve">50 years** </w:t>
            </w:r>
          </w:p>
        </w:tc>
      </w:tr>
      <w:tr w:rsidR="00945B69" w:rsidRPr="00316D81" w14:paraId="5CB9BD74" w14:textId="77777777" w:rsidTr="00837725">
        <w:trPr>
          <w:trHeight w:val="350"/>
        </w:trPr>
        <w:tc>
          <w:tcPr>
            <w:tcW w:w="0" w:type="auto"/>
            <w:tcBorders>
              <w:top w:val="single" w:sz="4" w:space="0" w:color="000000"/>
              <w:left w:val="single" w:sz="4" w:space="0" w:color="000000"/>
              <w:bottom w:val="single" w:sz="4" w:space="0" w:color="000000"/>
              <w:right w:val="nil"/>
            </w:tcBorders>
          </w:tcPr>
          <w:p w14:paraId="3C66A21D" w14:textId="794D44A4" w:rsidR="00945B69" w:rsidRPr="001A58ED" w:rsidRDefault="005716DA" w:rsidP="00837725">
            <w:pPr>
              <w:spacing w:line="259" w:lineRule="auto"/>
              <w:ind w:left="108"/>
              <w:rPr>
                <w:rFonts w:ascii="Arial" w:hAnsi="Arial" w:cs="Arial"/>
                <w:szCs w:val="24"/>
              </w:rPr>
            </w:pPr>
            <w:r>
              <w:rPr>
                <w:rFonts w:ascii="Arial" w:hAnsi="Arial" w:cs="Arial"/>
                <w:szCs w:val="24"/>
              </w:rPr>
              <w:t>Money Markets</w:t>
            </w:r>
            <w:r w:rsidR="0013043A">
              <w:rPr>
                <w:rFonts w:ascii="Arial" w:hAnsi="Arial" w:cs="Arial"/>
                <w:szCs w:val="24"/>
              </w:rPr>
              <w:t xml:space="preserve"> (AAA rated)</w:t>
            </w:r>
          </w:p>
        </w:tc>
        <w:tc>
          <w:tcPr>
            <w:tcW w:w="0" w:type="auto"/>
            <w:tcBorders>
              <w:top w:val="single" w:sz="4" w:space="0" w:color="000000"/>
              <w:left w:val="nil"/>
              <w:bottom w:val="single" w:sz="4" w:space="0" w:color="000000"/>
              <w:right w:val="single" w:sz="4" w:space="0" w:color="000000"/>
            </w:tcBorders>
          </w:tcPr>
          <w:p w14:paraId="4865F632" w14:textId="77777777" w:rsidR="00945B69" w:rsidRPr="001A58ED" w:rsidRDefault="00945B69" w:rsidP="00837725">
            <w:pPr>
              <w:spacing w:after="160" w:line="259" w:lineRule="auto"/>
              <w:rPr>
                <w:rFonts w:ascii="Arial" w:hAnsi="Arial" w:cs="Arial"/>
                <w:szCs w:val="24"/>
              </w:rPr>
            </w:pPr>
          </w:p>
        </w:tc>
        <w:tc>
          <w:tcPr>
            <w:tcW w:w="0" w:type="auto"/>
            <w:tcBorders>
              <w:top w:val="single" w:sz="4" w:space="0" w:color="000000"/>
              <w:left w:val="single" w:sz="4" w:space="0" w:color="000000"/>
              <w:bottom w:val="single" w:sz="4" w:space="0" w:color="000000"/>
              <w:right w:val="single" w:sz="4" w:space="0" w:color="000000"/>
            </w:tcBorders>
          </w:tcPr>
          <w:p w14:paraId="0AA2B6D5" w14:textId="57E536E8" w:rsidR="00945B69" w:rsidRPr="001A58ED" w:rsidRDefault="005716DA" w:rsidP="00837725">
            <w:pPr>
              <w:spacing w:line="259" w:lineRule="auto"/>
              <w:ind w:left="57" w:right="57"/>
              <w:rPr>
                <w:rFonts w:ascii="Arial" w:hAnsi="Arial" w:cs="Arial"/>
                <w:szCs w:val="24"/>
              </w:rPr>
            </w:pPr>
            <w:r>
              <w:rPr>
                <w:rFonts w:ascii="Arial" w:hAnsi="Arial" w:cs="Arial"/>
                <w:szCs w:val="24"/>
              </w:rPr>
              <w:t>£1</w:t>
            </w:r>
            <w:r w:rsidR="008A5995">
              <w:rPr>
                <w:rFonts w:ascii="Arial" w:hAnsi="Arial" w:cs="Arial"/>
                <w:szCs w:val="24"/>
              </w:rPr>
              <w:t>5</w:t>
            </w:r>
            <w:r>
              <w:rPr>
                <w:rFonts w:ascii="Arial" w:hAnsi="Arial" w:cs="Arial"/>
                <w:szCs w:val="24"/>
              </w:rPr>
              <w:t>m</w:t>
            </w:r>
          </w:p>
        </w:tc>
        <w:tc>
          <w:tcPr>
            <w:tcW w:w="0" w:type="auto"/>
            <w:tcBorders>
              <w:top w:val="single" w:sz="4" w:space="0" w:color="000000"/>
              <w:left w:val="single" w:sz="4" w:space="0" w:color="000000"/>
              <w:bottom w:val="single" w:sz="4" w:space="0" w:color="000000"/>
              <w:right w:val="single" w:sz="4" w:space="0" w:color="000000"/>
            </w:tcBorders>
          </w:tcPr>
          <w:p w14:paraId="1F4CB49D" w14:textId="253DD835" w:rsidR="00945B69" w:rsidRPr="001A58ED" w:rsidRDefault="005716DA" w:rsidP="00837725">
            <w:pPr>
              <w:spacing w:line="259" w:lineRule="auto"/>
              <w:ind w:left="57" w:right="57"/>
              <w:rPr>
                <w:rFonts w:ascii="Arial" w:hAnsi="Arial" w:cs="Arial"/>
                <w:szCs w:val="24"/>
              </w:rPr>
            </w:pPr>
            <w:r>
              <w:rPr>
                <w:rFonts w:ascii="Arial" w:hAnsi="Arial" w:cs="Arial"/>
                <w:szCs w:val="24"/>
              </w:rPr>
              <w:t>Next day</w:t>
            </w:r>
          </w:p>
        </w:tc>
      </w:tr>
      <w:tr w:rsidR="00657C97" w:rsidRPr="00316D81" w14:paraId="1B03C195" w14:textId="77777777" w:rsidTr="00837725">
        <w:trPr>
          <w:trHeight w:val="350"/>
        </w:trPr>
        <w:tc>
          <w:tcPr>
            <w:tcW w:w="0" w:type="auto"/>
            <w:tcBorders>
              <w:top w:val="single" w:sz="4" w:space="0" w:color="000000"/>
              <w:left w:val="single" w:sz="4" w:space="0" w:color="000000"/>
              <w:bottom w:val="single" w:sz="4" w:space="0" w:color="000000"/>
              <w:right w:val="nil"/>
            </w:tcBorders>
          </w:tcPr>
          <w:p w14:paraId="17548AA9" w14:textId="77777777" w:rsidR="00657C97" w:rsidRPr="001A58ED" w:rsidRDefault="00657C97" w:rsidP="00837725">
            <w:pPr>
              <w:spacing w:line="259" w:lineRule="auto"/>
              <w:ind w:left="108"/>
              <w:rPr>
                <w:rFonts w:ascii="Arial" w:hAnsi="Arial" w:cs="Arial"/>
                <w:szCs w:val="24"/>
              </w:rPr>
            </w:pPr>
            <w:r w:rsidRPr="001A58ED">
              <w:rPr>
                <w:rFonts w:ascii="Arial" w:hAnsi="Arial" w:cs="Arial"/>
                <w:szCs w:val="24"/>
              </w:rPr>
              <w:t xml:space="preserve">UK Local Authorities (irrespective of credit rating) </w:t>
            </w:r>
          </w:p>
        </w:tc>
        <w:tc>
          <w:tcPr>
            <w:tcW w:w="0" w:type="auto"/>
            <w:tcBorders>
              <w:top w:val="single" w:sz="4" w:space="0" w:color="000000"/>
              <w:left w:val="nil"/>
              <w:bottom w:val="single" w:sz="4" w:space="0" w:color="000000"/>
              <w:right w:val="single" w:sz="4" w:space="0" w:color="000000"/>
            </w:tcBorders>
          </w:tcPr>
          <w:p w14:paraId="21582979" w14:textId="77777777" w:rsidR="00657C97" w:rsidRPr="001A58ED" w:rsidRDefault="00657C97" w:rsidP="00837725">
            <w:pPr>
              <w:spacing w:after="160" w:line="259" w:lineRule="auto"/>
              <w:rPr>
                <w:rFonts w:ascii="Arial" w:hAnsi="Arial" w:cs="Arial"/>
                <w:szCs w:val="24"/>
              </w:rPr>
            </w:pPr>
          </w:p>
        </w:tc>
        <w:tc>
          <w:tcPr>
            <w:tcW w:w="0" w:type="auto"/>
            <w:tcBorders>
              <w:top w:val="single" w:sz="4" w:space="0" w:color="000000"/>
              <w:left w:val="single" w:sz="4" w:space="0" w:color="000000"/>
              <w:bottom w:val="single" w:sz="4" w:space="0" w:color="000000"/>
              <w:right w:val="single" w:sz="4" w:space="0" w:color="000000"/>
            </w:tcBorders>
          </w:tcPr>
          <w:p w14:paraId="4E3BC3A6"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 xml:space="preserve">£10m </w:t>
            </w:r>
          </w:p>
        </w:tc>
        <w:tc>
          <w:tcPr>
            <w:tcW w:w="0" w:type="auto"/>
            <w:tcBorders>
              <w:top w:val="single" w:sz="4" w:space="0" w:color="000000"/>
              <w:left w:val="single" w:sz="4" w:space="0" w:color="000000"/>
              <w:bottom w:val="single" w:sz="4" w:space="0" w:color="000000"/>
              <w:right w:val="single" w:sz="4" w:space="0" w:color="000000"/>
            </w:tcBorders>
          </w:tcPr>
          <w:p w14:paraId="65CD9616"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10 years</w:t>
            </w:r>
          </w:p>
        </w:tc>
      </w:tr>
      <w:tr w:rsidR="00657C97" w:rsidRPr="00316D81" w14:paraId="1EF3A2D6" w14:textId="77777777" w:rsidTr="00837725">
        <w:trPr>
          <w:trHeight w:val="350"/>
        </w:trPr>
        <w:tc>
          <w:tcPr>
            <w:tcW w:w="0" w:type="auto"/>
            <w:tcBorders>
              <w:top w:val="single" w:sz="4" w:space="0" w:color="000000"/>
              <w:left w:val="single" w:sz="4" w:space="0" w:color="000000"/>
              <w:bottom w:val="single" w:sz="4" w:space="0" w:color="000000"/>
              <w:right w:val="nil"/>
            </w:tcBorders>
          </w:tcPr>
          <w:p w14:paraId="7A2620B5" w14:textId="77777777" w:rsidR="00657C97" w:rsidRPr="001A58ED" w:rsidRDefault="00657C97" w:rsidP="00837725">
            <w:pPr>
              <w:spacing w:line="259" w:lineRule="auto"/>
              <w:ind w:left="108"/>
              <w:rPr>
                <w:rFonts w:ascii="Arial" w:hAnsi="Arial" w:cs="Arial"/>
                <w:szCs w:val="24"/>
              </w:rPr>
            </w:pPr>
            <w:r w:rsidRPr="001A58ED">
              <w:rPr>
                <w:rFonts w:ascii="Arial" w:hAnsi="Arial" w:cs="Arial"/>
                <w:szCs w:val="24"/>
              </w:rPr>
              <w:t>Call Account facility</w:t>
            </w:r>
          </w:p>
        </w:tc>
        <w:tc>
          <w:tcPr>
            <w:tcW w:w="0" w:type="auto"/>
            <w:tcBorders>
              <w:top w:val="single" w:sz="4" w:space="0" w:color="000000"/>
              <w:left w:val="nil"/>
              <w:bottom w:val="single" w:sz="4" w:space="0" w:color="000000"/>
              <w:right w:val="single" w:sz="4" w:space="0" w:color="000000"/>
            </w:tcBorders>
          </w:tcPr>
          <w:p w14:paraId="23C1A6B5" w14:textId="77777777" w:rsidR="00657C97" w:rsidRPr="001A58ED" w:rsidRDefault="00657C97" w:rsidP="00837725">
            <w:pPr>
              <w:spacing w:after="160" w:line="259" w:lineRule="auto"/>
              <w:rPr>
                <w:rFonts w:ascii="Arial" w:hAnsi="Arial" w:cs="Arial"/>
                <w:szCs w:val="24"/>
              </w:rPr>
            </w:pPr>
          </w:p>
        </w:tc>
        <w:tc>
          <w:tcPr>
            <w:tcW w:w="0" w:type="auto"/>
            <w:tcBorders>
              <w:top w:val="single" w:sz="4" w:space="0" w:color="000000"/>
              <w:left w:val="single" w:sz="4" w:space="0" w:color="000000"/>
              <w:bottom w:val="single" w:sz="4" w:space="0" w:color="000000"/>
              <w:right w:val="single" w:sz="4" w:space="0" w:color="000000"/>
            </w:tcBorders>
          </w:tcPr>
          <w:p w14:paraId="57253768"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unlimited</w:t>
            </w:r>
          </w:p>
        </w:tc>
        <w:tc>
          <w:tcPr>
            <w:tcW w:w="0" w:type="auto"/>
            <w:tcBorders>
              <w:top w:val="single" w:sz="4" w:space="0" w:color="000000"/>
              <w:left w:val="single" w:sz="4" w:space="0" w:color="000000"/>
              <w:bottom w:val="single" w:sz="4" w:space="0" w:color="000000"/>
              <w:right w:val="single" w:sz="4" w:space="0" w:color="000000"/>
            </w:tcBorders>
          </w:tcPr>
          <w:p w14:paraId="49CB7FD3"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Next day</w:t>
            </w:r>
          </w:p>
        </w:tc>
      </w:tr>
      <w:tr w:rsidR="00657C97" w:rsidRPr="00316D81" w14:paraId="4FDD0D7C" w14:textId="77777777" w:rsidTr="00837725">
        <w:trPr>
          <w:trHeight w:val="350"/>
        </w:trPr>
        <w:tc>
          <w:tcPr>
            <w:tcW w:w="0" w:type="auto"/>
            <w:tcBorders>
              <w:top w:val="single" w:sz="4" w:space="0" w:color="000000"/>
              <w:left w:val="single" w:sz="4" w:space="0" w:color="000000"/>
              <w:bottom w:val="single" w:sz="4" w:space="0" w:color="000000"/>
              <w:right w:val="nil"/>
            </w:tcBorders>
          </w:tcPr>
          <w:p w14:paraId="03BAB5C6" w14:textId="77777777" w:rsidR="00657C97" w:rsidRPr="001A58ED" w:rsidRDefault="00657C97" w:rsidP="00837725">
            <w:pPr>
              <w:spacing w:line="259" w:lineRule="auto"/>
              <w:ind w:left="108"/>
              <w:rPr>
                <w:rFonts w:ascii="Arial" w:hAnsi="Arial" w:cs="Arial"/>
                <w:szCs w:val="24"/>
              </w:rPr>
            </w:pPr>
            <w:r w:rsidRPr="001A58ED">
              <w:rPr>
                <w:rFonts w:ascii="Arial" w:hAnsi="Arial" w:cs="Arial"/>
                <w:szCs w:val="24"/>
              </w:rPr>
              <w:t xml:space="preserve">Secured Bond Funds AA rating and WAL not more than 3 years </w:t>
            </w:r>
          </w:p>
        </w:tc>
        <w:tc>
          <w:tcPr>
            <w:tcW w:w="0" w:type="auto"/>
            <w:tcBorders>
              <w:top w:val="single" w:sz="4" w:space="0" w:color="000000"/>
              <w:left w:val="nil"/>
              <w:bottom w:val="single" w:sz="4" w:space="0" w:color="000000"/>
              <w:right w:val="single" w:sz="4" w:space="0" w:color="000000"/>
            </w:tcBorders>
          </w:tcPr>
          <w:p w14:paraId="2CDC3217" w14:textId="77777777" w:rsidR="00657C97" w:rsidRPr="001A58ED" w:rsidRDefault="00657C97" w:rsidP="00837725">
            <w:pPr>
              <w:spacing w:after="160" w:line="259" w:lineRule="auto"/>
              <w:rPr>
                <w:rFonts w:ascii="Arial" w:hAnsi="Arial" w:cs="Arial"/>
                <w:szCs w:val="24"/>
              </w:rPr>
            </w:pPr>
          </w:p>
        </w:tc>
        <w:tc>
          <w:tcPr>
            <w:tcW w:w="0" w:type="auto"/>
            <w:tcBorders>
              <w:top w:val="single" w:sz="4" w:space="0" w:color="000000"/>
              <w:left w:val="single" w:sz="4" w:space="0" w:color="000000"/>
              <w:bottom w:val="single" w:sz="4" w:space="0" w:color="000000"/>
              <w:right w:val="single" w:sz="4" w:space="0" w:color="000000"/>
            </w:tcBorders>
          </w:tcPr>
          <w:p w14:paraId="167A68EF"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 xml:space="preserve">£5m each </w:t>
            </w:r>
          </w:p>
        </w:tc>
        <w:tc>
          <w:tcPr>
            <w:tcW w:w="0" w:type="auto"/>
            <w:tcBorders>
              <w:top w:val="single" w:sz="4" w:space="0" w:color="000000"/>
              <w:left w:val="single" w:sz="4" w:space="0" w:color="000000"/>
              <w:bottom w:val="single" w:sz="4" w:space="0" w:color="000000"/>
              <w:right w:val="single" w:sz="4" w:space="0" w:color="000000"/>
            </w:tcBorders>
          </w:tcPr>
          <w:p w14:paraId="711864B9"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 xml:space="preserve">n/a </w:t>
            </w:r>
          </w:p>
        </w:tc>
      </w:tr>
      <w:tr w:rsidR="00657C97" w:rsidRPr="00316D81" w14:paraId="0E2B91E7" w14:textId="77777777" w:rsidTr="00837725">
        <w:trPr>
          <w:trHeight w:val="350"/>
        </w:trPr>
        <w:tc>
          <w:tcPr>
            <w:tcW w:w="0" w:type="auto"/>
            <w:tcBorders>
              <w:top w:val="single" w:sz="4" w:space="0" w:color="000000"/>
              <w:left w:val="single" w:sz="4" w:space="0" w:color="000000"/>
              <w:bottom w:val="single" w:sz="4" w:space="0" w:color="000000"/>
              <w:right w:val="nil"/>
            </w:tcBorders>
          </w:tcPr>
          <w:p w14:paraId="6E5B26AF" w14:textId="77777777" w:rsidR="00657C97" w:rsidRPr="001A58ED" w:rsidRDefault="00657C97" w:rsidP="00837725">
            <w:pPr>
              <w:spacing w:line="259" w:lineRule="auto"/>
              <w:ind w:left="108"/>
              <w:rPr>
                <w:rFonts w:ascii="Arial" w:hAnsi="Arial" w:cs="Arial"/>
                <w:szCs w:val="24"/>
              </w:rPr>
            </w:pPr>
            <w:r w:rsidRPr="001A58ED">
              <w:rPr>
                <w:rFonts w:ascii="Arial" w:hAnsi="Arial" w:cs="Arial"/>
                <w:szCs w:val="24"/>
              </w:rPr>
              <w:t>Secured Bond Funds AAA rated and WAL not more than 5 years</w:t>
            </w:r>
          </w:p>
        </w:tc>
        <w:tc>
          <w:tcPr>
            <w:tcW w:w="0" w:type="auto"/>
            <w:tcBorders>
              <w:top w:val="single" w:sz="4" w:space="0" w:color="000000"/>
              <w:left w:val="nil"/>
              <w:bottom w:val="single" w:sz="4" w:space="0" w:color="000000"/>
              <w:right w:val="single" w:sz="4" w:space="0" w:color="000000"/>
            </w:tcBorders>
          </w:tcPr>
          <w:p w14:paraId="39E80335" w14:textId="77777777" w:rsidR="00657C97" w:rsidRPr="001A58ED" w:rsidRDefault="00657C97" w:rsidP="00837725">
            <w:pPr>
              <w:spacing w:after="160" w:line="259" w:lineRule="auto"/>
              <w:rPr>
                <w:rFonts w:ascii="Arial" w:hAnsi="Arial" w:cs="Arial"/>
                <w:szCs w:val="24"/>
              </w:rPr>
            </w:pPr>
          </w:p>
        </w:tc>
        <w:tc>
          <w:tcPr>
            <w:tcW w:w="0" w:type="auto"/>
            <w:tcBorders>
              <w:top w:val="single" w:sz="4" w:space="0" w:color="000000"/>
              <w:left w:val="single" w:sz="4" w:space="0" w:color="000000"/>
              <w:bottom w:val="single" w:sz="4" w:space="0" w:color="000000"/>
              <w:right w:val="single" w:sz="4" w:space="0" w:color="000000"/>
            </w:tcBorders>
          </w:tcPr>
          <w:p w14:paraId="14CFD702"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£5m each</w:t>
            </w:r>
          </w:p>
        </w:tc>
        <w:tc>
          <w:tcPr>
            <w:tcW w:w="0" w:type="auto"/>
            <w:tcBorders>
              <w:top w:val="single" w:sz="4" w:space="0" w:color="000000"/>
              <w:left w:val="single" w:sz="4" w:space="0" w:color="000000"/>
              <w:bottom w:val="single" w:sz="4" w:space="0" w:color="000000"/>
              <w:right w:val="single" w:sz="4" w:space="0" w:color="000000"/>
            </w:tcBorders>
          </w:tcPr>
          <w:p w14:paraId="04781789" w14:textId="77777777" w:rsidR="00657C97" w:rsidRPr="001A58ED" w:rsidRDefault="00657C97" w:rsidP="00837725">
            <w:pPr>
              <w:spacing w:line="259" w:lineRule="auto"/>
              <w:ind w:left="57" w:right="57"/>
              <w:rPr>
                <w:rFonts w:ascii="Arial" w:hAnsi="Arial" w:cs="Arial"/>
                <w:szCs w:val="24"/>
              </w:rPr>
            </w:pPr>
            <w:r w:rsidRPr="001A58ED">
              <w:rPr>
                <w:rFonts w:ascii="Arial" w:hAnsi="Arial" w:cs="Arial"/>
                <w:szCs w:val="24"/>
              </w:rPr>
              <w:t>n/a</w:t>
            </w:r>
          </w:p>
        </w:tc>
      </w:tr>
    </w:tbl>
    <w:p w14:paraId="3889080F" w14:textId="77777777" w:rsidR="00657C97" w:rsidRPr="00B4146E" w:rsidRDefault="00657C97" w:rsidP="00657C97">
      <w:pPr>
        <w:spacing w:before="120" w:after="3" w:line="259" w:lineRule="auto"/>
        <w:ind w:left="142"/>
        <w:rPr>
          <w:rFonts w:cs="Arial"/>
          <w:i/>
          <w:sz w:val="20"/>
        </w:rPr>
      </w:pPr>
      <w:r w:rsidRPr="00B4146E">
        <w:rPr>
          <w:rFonts w:cs="Arial"/>
          <w:i/>
          <w:sz w:val="20"/>
        </w:rPr>
        <w:t xml:space="preserve">*  But no longer than 2 years in fixed-term deposits and other illiquid instruments </w:t>
      </w:r>
    </w:p>
    <w:p w14:paraId="7C0709AD" w14:textId="77777777" w:rsidR="00657C97" w:rsidRPr="00B4146E" w:rsidRDefault="00657C97" w:rsidP="00657C97">
      <w:pPr>
        <w:spacing w:after="120" w:line="259" w:lineRule="auto"/>
        <w:ind w:left="142"/>
        <w:rPr>
          <w:rFonts w:cs="Arial"/>
          <w:i/>
          <w:sz w:val="20"/>
        </w:rPr>
      </w:pPr>
      <w:r w:rsidRPr="00B4146E">
        <w:rPr>
          <w:rFonts w:cs="Arial"/>
          <w:i/>
          <w:sz w:val="20"/>
        </w:rPr>
        <w:t>** but no longer than 5 years in fixed-term deposits and other illiquid instruments</w:t>
      </w:r>
      <w:r w:rsidRPr="00B4146E">
        <w:rPr>
          <w:rFonts w:cs="Arial"/>
          <w:b/>
          <w:i/>
          <w:sz w:val="20"/>
        </w:rPr>
        <w:t xml:space="preserve"> </w:t>
      </w:r>
    </w:p>
    <w:p w14:paraId="7A824F81" w14:textId="5A5218B9" w:rsidR="00534CEC" w:rsidRDefault="009F7BA9" w:rsidP="009F7BA9">
      <w:pPr>
        <w:keepNext/>
        <w:widowControl w:val="0"/>
        <w:spacing w:before="400"/>
        <w:ind w:left="720" w:hanging="720"/>
        <w:jc w:val="both"/>
        <w:rPr>
          <w:rFonts w:ascii="Arial" w:hAnsi="Arial" w:cs="Arial"/>
          <w:bCs/>
        </w:rPr>
      </w:pPr>
      <w:r w:rsidRPr="009F7BA9">
        <w:rPr>
          <w:rFonts w:ascii="Arial" w:hAnsi="Arial" w:cs="Arial"/>
          <w:bCs/>
        </w:rPr>
        <w:t>13.8.</w:t>
      </w:r>
      <w:r w:rsidRPr="009F7BA9">
        <w:rPr>
          <w:rFonts w:ascii="Arial" w:hAnsi="Arial" w:cs="Arial"/>
          <w:bCs/>
        </w:rPr>
        <w:tab/>
        <w:t xml:space="preserve">Whilst the investment strategy allows flexibility with investments any decision as to whether to utilise this facility will be made based on an assessment of risk and reward undertaken jointly between the Chief Finance Officer and </w:t>
      </w:r>
      <w:r w:rsidR="00657C97">
        <w:rPr>
          <w:rFonts w:ascii="Arial" w:hAnsi="Arial" w:cs="Arial"/>
          <w:bCs/>
        </w:rPr>
        <w:t>the</w:t>
      </w:r>
      <w:r w:rsidR="001A58ED">
        <w:rPr>
          <w:rFonts w:ascii="Arial" w:hAnsi="Arial" w:cs="Arial"/>
          <w:bCs/>
        </w:rPr>
        <w:t xml:space="preserve"> </w:t>
      </w:r>
      <w:r w:rsidRPr="009F7BA9">
        <w:rPr>
          <w:rFonts w:ascii="Arial" w:hAnsi="Arial" w:cs="Arial"/>
          <w:bCs/>
        </w:rPr>
        <w:t xml:space="preserve">Treasury Management Team, and consideration of this forms part of the on-going meetings that take place throughout the year.  </w:t>
      </w:r>
    </w:p>
    <w:p w14:paraId="17C0041E" w14:textId="77777777" w:rsidR="00193B6F" w:rsidRDefault="00193B6F">
      <w:pPr>
        <w:spacing w:after="0" w:line="240" w:lineRule="auto"/>
        <w:rPr>
          <w:rFonts w:ascii="Arial" w:hAnsi="Arial" w:cs="Arial"/>
          <w:bCs/>
        </w:rPr>
      </w:pPr>
      <w:r>
        <w:rPr>
          <w:rFonts w:ascii="Arial" w:hAnsi="Arial" w:cs="Arial"/>
          <w:bCs/>
        </w:rPr>
        <w:br w:type="page"/>
      </w:r>
    </w:p>
    <w:p w14:paraId="74310C7C" w14:textId="4F8E0E1B" w:rsidR="009F7BA9" w:rsidRPr="009F7BA9" w:rsidRDefault="009F7BA9" w:rsidP="009F7BA9">
      <w:pPr>
        <w:keepNext/>
        <w:widowControl w:val="0"/>
        <w:spacing w:before="400"/>
        <w:ind w:left="720" w:hanging="720"/>
        <w:jc w:val="both"/>
        <w:rPr>
          <w:rFonts w:ascii="Arial" w:hAnsi="Arial" w:cs="Arial"/>
          <w:bCs/>
        </w:rPr>
      </w:pPr>
      <w:r w:rsidRPr="009F7BA9">
        <w:rPr>
          <w:rFonts w:ascii="Arial" w:hAnsi="Arial" w:cs="Arial"/>
          <w:bCs/>
        </w:rPr>
        <w:lastRenderedPageBreak/>
        <w:t>13.9.</w:t>
      </w:r>
      <w:r w:rsidRPr="009F7BA9">
        <w:rPr>
          <w:rFonts w:ascii="Arial" w:hAnsi="Arial" w:cs="Arial"/>
          <w:bCs/>
        </w:rPr>
        <w:tab/>
        <w:t xml:space="preserve">The Commissioner may lend or invest money using any of the following instruments: </w:t>
      </w:r>
    </w:p>
    <w:p w14:paraId="1FBD0EE5" w14:textId="77777777" w:rsidR="00534CEC" w:rsidRDefault="009F7BA9" w:rsidP="00837725">
      <w:pPr>
        <w:pStyle w:val="ListParagraph"/>
        <w:keepNext/>
        <w:widowControl w:val="0"/>
        <w:numPr>
          <w:ilvl w:val="0"/>
          <w:numId w:val="7"/>
        </w:numPr>
        <w:spacing w:before="400"/>
        <w:ind w:left="720"/>
        <w:jc w:val="both"/>
        <w:rPr>
          <w:rFonts w:ascii="Arial" w:hAnsi="Arial" w:cs="Arial"/>
          <w:bCs/>
        </w:rPr>
      </w:pPr>
      <w:r w:rsidRPr="00534CEC">
        <w:rPr>
          <w:rFonts w:ascii="Arial" w:hAnsi="Arial" w:cs="Arial"/>
          <w:bCs/>
        </w:rPr>
        <w:t>interest-bearing bank accounts,</w:t>
      </w:r>
    </w:p>
    <w:p w14:paraId="341A8782" w14:textId="77777777" w:rsidR="00534CEC" w:rsidRDefault="009F7BA9" w:rsidP="00534CEC">
      <w:pPr>
        <w:pStyle w:val="ListParagraph"/>
        <w:keepNext/>
        <w:widowControl w:val="0"/>
        <w:numPr>
          <w:ilvl w:val="0"/>
          <w:numId w:val="7"/>
        </w:numPr>
        <w:spacing w:before="400"/>
        <w:ind w:left="720"/>
        <w:jc w:val="both"/>
        <w:rPr>
          <w:rFonts w:ascii="Arial" w:hAnsi="Arial" w:cs="Arial"/>
          <w:bCs/>
        </w:rPr>
      </w:pPr>
      <w:r w:rsidRPr="00534CEC">
        <w:rPr>
          <w:rFonts w:ascii="Arial" w:hAnsi="Arial" w:cs="Arial"/>
          <w:bCs/>
        </w:rPr>
        <w:t xml:space="preserve">fixed term deposits and loans, </w:t>
      </w:r>
    </w:p>
    <w:p w14:paraId="7CD3E644" w14:textId="77777777" w:rsidR="00534CEC" w:rsidRDefault="009F7BA9" w:rsidP="00837725">
      <w:pPr>
        <w:pStyle w:val="ListParagraph"/>
        <w:keepNext/>
        <w:widowControl w:val="0"/>
        <w:numPr>
          <w:ilvl w:val="0"/>
          <w:numId w:val="7"/>
        </w:numPr>
        <w:spacing w:before="400"/>
        <w:ind w:left="720"/>
        <w:jc w:val="both"/>
        <w:rPr>
          <w:rFonts w:ascii="Arial" w:hAnsi="Arial" w:cs="Arial"/>
          <w:bCs/>
        </w:rPr>
      </w:pPr>
      <w:r w:rsidRPr="00534CEC">
        <w:rPr>
          <w:rFonts w:ascii="Arial" w:hAnsi="Arial" w:cs="Arial"/>
          <w:bCs/>
        </w:rPr>
        <w:t xml:space="preserve">callable deposits where the Commissioner may demand repayment at any time (with or without notice), </w:t>
      </w:r>
    </w:p>
    <w:p w14:paraId="054F43D0" w14:textId="77777777" w:rsidR="00534CEC" w:rsidRDefault="009F7BA9" w:rsidP="00837725">
      <w:pPr>
        <w:pStyle w:val="ListParagraph"/>
        <w:keepNext/>
        <w:widowControl w:val="0"/>
        <w:numPr>
          <w:ilvl w:val="0"/>
          <w:numId w:val="7"/>
        </w:numPr>
        <w:spacing w:before="400"/>
        <w:ind w:left="720"/>
        <w:jc w:val="both"/>
        <w:rPr>
          <w:rFonts w:ascii="Arial" w:hAnsi="Arial" w:cs="Arial"/>
          <w:bCs/>
        </w:rPr>
      </w:pPr>
      <w:r w:rsidRPr="00534CEC">
        <w:rPr>
          <w:rFonts w:ascii="Arial" w:hAnsi="Arial" w:cs="Arial"/>
          <w:bCs/>
        </w:rPr>
        <w:t>certificates of deposit,</w:t>
      </w:r>
    </w:p>
    <w:p w14:paraId="6A2084DA" w14:textId="77777777" w:rsidR="00534CEC" w:rsidRDefault="009F7BA9" w:rsidP="00534CEC">
      <w:pPr>
        <w:pStyle w:val="ListParagraph"/>
        <w:keepNext/>
        <w:widowControl w:val="0"/>
        <w:numPr>
          <w:ilvl w:val="0"/>
          <w:numId w:val="7"/>
        </w:numPr>
        <w:spacing w:before="400"/>
        <w:ind w:left="720"/>
        <w:jc w:val="both"/>
        <w:rPr>
          <w:rFonts w:ascii="Arial" w:hAnsi="Arial" w:cs="Arial"/>
          <w:bCs/>
        </w:rPr>
      </w:pPr>
      <w:r w:rsidRPr="00534CEC">
        <w:rPr>
          <w:rFonts w:ascii="Arial" w:hAnsi="Arial" w:cs="Arial"/>
          <w:bCs/>
        </w:rPr>
        <w:t>bonds, notes, bills, commercial paper and other marketable instruments, and</w:t>
      </w:r>
    </w:p>
    <w:p w14:paraId="0D382813" w14:textId="0E25D660" w:rsidR="009F7BA9" w:rsidRPr="00534CEC" w:rsidRDefault="009F7BA9" w:rsidP="00534CEC">
      <w:pPr>
        <w:pStyle w:val="ListParagraph"/>
        <w:keepNext/>
        <w:widowControl w:val="0"/>
        <w:numPr>
          <w:ilvl w:val="0"/>
          <w:numId w:val="7"/>
        </w:numPr>
        <w:spacing w:before="400"/>
        <w:ind w:left="720"/>
        <w:jc w:val="both"/>
        <w:rPr>
          <w:rFonts w:ascii="Arial" w:hAnsi="Arial" w:cs="Arial"/>
          <w:bCs/>
        </w:rPr>
      </w:pPr>
      <w:r w:rsidRPr="00534CEC">
        <w:rPr>
          <w:rFonts w:ascii="Arial" w:hAnsi="Arial" w:cs="Arial"/>
          <w:bCs/>
        </w:rPr>
        <w:t>shares in bond funds.</w:t>
      </w:r>
    </w:p>
    <w:p w14:paraId="1DDAE41A" w14:textId="29EBCB14" w:rsidR="00D33DFE" w:rsidRDefault="009F7BA9" w:rsidP="00193B6F">
      <w:pPr>
        <w:keepNext/>
        <w:widowControl w:val="0"/>
        <w:spacing w:before="400"/>
        <w:ind w:left="720" w:hanging="720"/>
        <w:jc w:val="both"/>
        <w:rPr>
          <w:rFonts w:ascii="Arial" w:hAnsi="Arial" w:cs="Arial"/>
          <w:bCs/>
        </w:rPr>
      </w:pPr>
      <w:r w:rsidRPr="009F7BA9">
        <w:rPr>
          <w:rFonts w:ascii="Arial" w:hAnsi="Arial" w:cs="Arial"/>
          <w:bCs/>
        </w:rPr>
        <w:t>13.10.</w:t>
      </w:r>
      <w:r w:rsidRPr="009F7BA9">
        <w:rPr>
          <w:rFonts w:ascii="Arial" w:hAnsi="Arial" w:cs="Arial"/>
          <w:bCs/>
        </w:rPr>
        <w:tab/>
        <w:t xml:space="preserve">Investments may be made at either a fixed rate of interest, or at a variable rate linked to a market interest rate, such as SONIA, subject to the limits on interest rate exposures below. </w:t>
      </w:r>
    </w:p>
    <w:p w14:paraId="6E818F63" w14:textId="77777777" w:rsidR="009F7BA9" w:rsidRPr="009F7BA9" w:rsidRDefault="009F7BA9" w:rsidP="009F7BA9">
      <w:pPr>
        <w:keepNext/>
        <w:widowControl w:val="0"/>
        <w:spacing w:before="400"/>
        <w:ind w:left="720" w:hanging="720"/>
        <w:jc w:val="both"/>
        <w:rPr>
          <w:rFonts w:ascii="Arial" w:hAnsi="Arial" w:cs="Arial"/>
          <w:bCs/>
        </w:rPr>
      </w:pPr>
      <w:r w:rsidRPr="009F7BA9">
        <w:rPr>
          <w:rFonts w:ascii="Arial" w:hAnsi="Arial" w:cs="Arial"/>
          <w:bCs/>
        </w:rPr>
        <w:t>13.11.</w:t>
      </w:r>
      <w:r w:rsidRPr="009F7BA9">
        <w:rPr>
          <w:rFonts w:ascii="Arial" w:hAnsi="Arial" w:cs="Arial"/>
          <w:bCs/>
        </w:rPr>
        <w:tab/>
        <w:t>The Constabulary finance team prepares daily cash flow forecasts to determine the maximum period for which funds may prudently be committed.  The forecast is compiled on a pessimistic basis, with receipts under-estimated and payments over-estimated to minimise the risk of being forced to borrow on unfavourable terms to meet its financial commitments. Limits on long-term investments are set by reference to the Commissioner’s medium term financial plan and cash flow forecast.</w:t>
      </w:r>
    </w:p>
    <w:p w14:paraId="65E5055C" w14:textId="7B66CCE9" w:rsidR="009F7BA9" w:rsidRDefault="009F7BA9" w:rsidP="009F7BA9">
      <w:pPr>
        <w:keepNext/>
        <w:widowControl w:val="0"/>
        <w:spacing w:before="400"/>
        <w:ind w:left="720" w:hanging="720"/>
        <w:jc w:val="both"/>
        <w:rPr>
          <w:rFonts w:ascii="Arial" w:hAnsi="Arial" w:cs="Arial"/>
          <w:bCs/>
        </w:rPr>
      </w:pPr>
      <w:r w:rsidRPr="009F7BA9">
        <w:rPr>
          <w:rFonts w:ascii="Arial" w:hAnsi="Arial" w:cs="Arial"/>
          <w:bCs/>
        </w:rPr>
        <w:t>13.12.</w:t>
      </w:r>
      <w:r w:rsidRPr="009F7BA9">
        <w:rPr>
          <w:rFonts w:ascii="Arial" w:hAnsi="Arial" w:cs="Arial"/>
          <w:bCs/>
        </w:rPr>
        <w:tab/>
        <w:t>The performance target on investments will remain as being above the average rate for 7-day notice money.</w:t>
      </w:r>
    </w:p>
    <w:p w14:paraId="1DDFF05C" w14:textId="77777777" w:rsidR="00534CEC" w:rsidRDefault="00534CEC" w:rsidP="00534CEC">
      <w:pPr>
        <w:pStyle w:val="BodyText"/>
        <w:spacing w:before="270" w:after="120"/>
        <w:rPr>
          <w:rFonts w:cs="Arial"/>
          <w:b/>
          <w:szCs w:val="24"/>
        </w:rPr>
      </w:pPr>
      <w:r>
        <w:rPr>
          <w:rFonts w:cs="Arial"/>
          <w:b/>
          <w:szCs w:val="24"/>
        </w:rPr>
        <w:t xml:space="preserve">14. </w:t>
      </w:r>
      <w:r>
        <w:rPr>
          <w:rFonts w:cs="Arial"/>
          <w:b/>
          <w:szCs w:val="24"/>
        </w:rPr>
        <w:tab/>
      </w:r>
      <w:r w:rsidRPr="009673CD">
        <w:rPr>
          <w:rFonts w:cs="Arial"/>
          <w:b/>
          <w:szCs w:val="24"/>
        </w:rPr>
        <w:t>Revenue Budget</w:t>
      </w:r>
    </w:p>
    <w:p w14:paraId="22DEAD84" w14:textId="498B27D7" w:rsidR="00534CEC" w:rsidRPr="00534CEC" w:rsidRDefault="00534CEC" w:rsidP="003A6C38">
      <w:pPr>
        <w:pStyle w:val="BodyText"/>
        <w:spacing w:before="270" w:after="120"/>
        <w:ind w:left="720" w:hanging="720"/>
        <w:rPr>
          <w:rFonts w:cs="Arial"/>
          <w:b/>
          <w:sz w:val="22"/>
          <w:szCs w:val="22"/>
        </w:rPr>
      </w:pPr>
      <w:r w:rsidRPr="00534CEC">
        <w:rPr>
          <w:rFonts w:cs="Arial"/>
          <w:bCs/>
          <w:sz w:val="22"/>
          <w:szCs w:val="22"/>
        </w:rPr>
        <w:t>14.1.</w:t>
      </w:r>
      <w:r w:rsidRPr="00534CEC">
        <w:rPr>
          <w:rFonts w:cs="Arial"/>
          <w:bCs/>
          <w:sz w:val="22"/>
          <w:szCs w:val="22"/>
        </w:rPr>
        <w:tab/>
      </w:r>
      <w:r w:rsidRPr="00534CEC">
        <w:rPr>
          <w:rFonts w:cs="Arial"/>
          <w:sz w:val="22"/>
          <w:szCs w:val="22"/>
        </w:rPr>
        <w:t>The proposed budgets for capital financing based upon the latest proposed capital programme are:</w:t>
      </w:r>
    </w:p>
    <w:tbl>
      <w:tblPr>
        <w:tblStyle w:val="TableGrid3"/>
        <w:tblW w:w="8325" w:type="dxa"/>
        <w:jc w:val="center"/>
        <w:tblLayout w:type="fixed"/>
        <w:tblLook w:val="04A0" w:firstRow="1" w:lastRow="0" w:firstColumn="1" w:lastColumn="0" w:noHBand="0" w:noVBand="1"/>
      </w:tblPr>
      <w:tblGrid>
        <w:gridCol w:w="2655"/>
        <w:gridCol w:w="1449"/>
        <w:gridCol w:w="1527"/>
        <w:gridCol w:w="1276"/>
        <w:gridCol w:w="1418"/>
      </w:tblGrid>
      <w:tr w:rsidR="00534CEC" w:rsidRPr="00534CEC" w14:paraId="397497D8" w14:textId="77777777" w:rsidTr="00837725">
        <w:trPr>
          <w:trHeight w:val="311"/>
          <w:jc w:val="center"/>
        </w:trPr>
        <w:tc>
          <w:tcPr>
            <w:tcW w:w="2655" w:type="dxa"/>
          </w:tcPr>
          <w:p w14:paraId="53B3613E" w14:textId="77777777" w:rsidR="00534CEC" w:rsidRPr="00534CEC" w:rsidRDefault="00534CEC" w:rsidP="00837725">
            <w:pPr>
              <w:spacing w:line="259" w:lineRule="auto"/>
              <w:jc w:val="both"/>
              <w:rPr>
                <w:rFonts w:ascii="Arial" w:eastAsia="Arial" w:hAnsi="Arial" w:cs="Arial"/>
                <w:color w:val="000000"/>
                <w:highlight w:val="yellow"/>
              </w:rPr>
            </w:pPr>
            <w:bookmarkStart w:id="2" w:name="_Hlk126911055"/>
          </w:p>
        </w:tc>
        <w:tc>
          <w:tcPr>
            <w:tcW w:w="1449" w:type="dxa"/>
            <w:vAlign w:val="center"/>
          </w:tcPr>
          <w:p w14:paraId="23A65B85" w14:textId="17D40EEF" w:rsidR="00534CEC" w:rsidRPr="00534CEC" w:rsidRDefault="006E4759" w:rsidP="00837725">
            <w:pPr>
              <w:spacing w:line="259" w:lineRule="auto"/>
              <w:jc w:val="right"/>
              <w:rPr>
                <w:rFonts w:ascii="Arial" w:eastAsia="Arial" w:hAnsi="Arial" w:cs="Arial"/>
                <w:b/>
                <w:bCs/>
                <w:color w:val="000000"/>
                <w:highlight w:val="yellow"/>
              </w:rPr>
            </w:pPr>
            <w:r>
              <w:rPr>
                <w:rFonts w:ascii="Arial" w:hAnsi="Arial" w:cs="Arial"/>
                <w:b/>
                <w:bCs/>
                <w:color w:val="000000"/>
              </w:rPr>
              <w:t>2026/27</w:t>
            </w:r>
          </w:p>
        </w:tc>
        <w:tc>
          <w:tcPr>
            <w:tcW w:w="1527" w:type="dxa"/>
            <w:vAlign w:val="center"/>
          </w:tcPr>
          <w:p w14:paraId="4011C88B" w14:textId="782FAE34" w:rsidR="00534CEC" w:rsidRPr="00534CEC" w:rsidRDefault="00534CEC" w:rsidP="00837725">
            <w:pPr>
              <w:spacing w:line="259" w:lineRule="auto"/>
              <w:jc w:val="right"/>
              <w:rPr>
                <w:rFonts w:ascii="Arial" w:eastAsia="Arial" w:hAnsi="Arial" w:cs="Arial"/>
                <w:b/>
                <w:bCs/>
                <w:color w:val="000000"/>
                <w:highlight w:val="yellow"/>
              </w:rPr>
            </w:pPr>
            <w:r w:rsidRPr="00534CEC">
              <w:rPr>
                <w:rFonts w:ascii="Arial" w:hAnsi="Arial" w:cs="Arial"/>
                <w:b/>
                <w:bCs/>
                <w:color w:val="000000"/>
              </w:rPr>
              <w:t>202</w:t>
            </w:r>
            <w:r w:rsidR="00F12D5F">
              <w:rPr>
                <w:rFonts w:ascii="Arial" w:hAnsi="Arial" w:cs="Arial"/>
                <w:b/>
                <w:bCs/>
                <w:color w:val="000000"/>
              </w:rPr>
              <w:t>7</w:t>
            </w:r>
            <w:r w:rsidRPr="00534CEC">
              <w:rPr>
                <w:rFonts w:ascii="Arial" w:hAnsi="Arial" w:cs="Arial"/>
                <w:b/>
                <w:bCs/>
                <w:color w:val="000000"/>
              </w:rPr>
              <w:t>/2</w:t>
            </w:r>
            <w:r w:rsidR="00F12D5F">
              <w:rPr>
                <w:rFonts w:ascii="Arial" w:hAnsi="Arial" w:cs="Arial"/>
                <w:b/>
                <w:bCs/>
                <w:color w:val="000000"/>
              </w:rPr>
              <w:t>8</w:t>
            </w:r>
          </w:p>
        </w:tc>
        <w:tc>
          <w:tcPr>
            <w:tcW w:w="1276" w:type="dxa"/>
            <w:vAlign w:val="center"/>
          </w:tcPr>
          <w:p w14:paraId="0547646D" w14:textId="7E2AC2CD" w:rsidR="00534CEC" w:rsidRPr="00534CEC" w:rsidRDefault="00534CEC" w:rsidP="00837725">
            <w:pPr>
              <w:spacing w:line="259" w:lineRule="auto"/>
              <w:jc w:val="right"/>
              <w:rPr>
                <w:rFonts w:ascii="Arial" w:eastAsia="Arial" w:hAnsi="Arial" w:cs="Arial"/>
                <w:b/>
                <w:bCs/>
                <w:color w:val="000000"/>
                <w:highlight w:val="yellow"/>
              </w:rPr>
            </w:pPr>
            <w:r w:rsidRPr="00534CEC">
              <w:rPr>
                <w:rFonts w:ascii="Arial" w:hAnsi="Arial" w:cs="Arial"/>
                <w:b/>
                <w:bCs/>
                <w:color w:val="000000"/>
              </w:rPr>
              <w:t>202</w:t>
            </w:r>
            <w:r w:rsidR="00F12D5F">
              <w:rPr>
                <w:rFonts w:ascii="Arial" w:hAnsi="Arial" w:cs="Arial"/>
                <w:b/>
                <w:bCs/>
                <w:color w:val="000000"/>
              </w:rPr>
              <w:t>8</w:t>
            </w:r>
            <w:r w:rsidRPr="00534CEC">
              <w:rPr>
                <w:rFonts w:ascii="Arial" w:hAnsi="Arial" w:cs="Arial"/>
                <w:b/>
                <w:bCs/>
                <w:color w:val="000000"/>
              </w:rPr>
              <w:t>/</w:t>
            </w:r>
            <w:r w:rsidR="00F12D5F">
              <w:rPr>
                <w:rFonts w:ascii="Arial" w:hAnsi="Arial" w:cs="Arial"/>
                <w:b/>
                <w:bCs/>
                <w:color w:val="000000"/>
              </w:rPr>
              <w:t>29</w:t>
            </w:r>
          </w:p>
        </w:tc>
        <w:tc>
          <w:tcPr>
            <w:tcW w:w="1418" w:type="dxa"/>
            <w:vAlign w:val="center"/>
          </w:tcPr>
          <w:p w14:paraId="1EE45A9A" w14:textId="4AEAE584" w:rsidR="00534CEC" w:rsidRPr="00534CEC" w:rsidRDefault="00534CEC" w:rsidP="00837725">
            <w:pPr>
              <w:spacing w:line="259" w:lineRule="auto"/>
              <w:jc w:val="right"/>
              <w:rPr>
                <w:rFonts w:ascii="Arial" w:eastAsia="Arial" w:hAnsi="Arial" w:cs="Arial"/>
                <w:b/>
                <w:bCs/>
                <w:color w:val="000000"/>
                <w:highlight w:val="yellow"/>
              </w:rPr>
            </w:pPr>
            <w:r w:rsidRPr="00534CEC">
              <w:rPr>
                <w:rFonts w:ascii="Arial" w:hAnsi="Arial" w:cs="Arial"/>
                <w:b/>
                <w:bCs/>
                <w:color w:val="000000"/>
              </w:rPr>
              <w:t>20</w:t>
            </w:r>
            <w:r w:rsidR="00F12D5F">
              <w:rPr>
                <w:rFonts w:ascii="Arial" w:hAnsi="Arial" w:cs="Arial"/>
                <w:b/>
                <w:bCs/>
                <w:color w:val="000000"/>
              </w:rPr>
              <w:t>29</w:t>
            </w:r>
            <w:r w:rsidRPr="00534CEC">
              <w:rPr>
                <w:rFonts w:ascii="Arial" w:hAnsi="Arial" w:cs="Arial"/>
                <w:b/>
                <w:bCs/>
                <w:color w:val="000000"/>
              </w:rPr>
              <w:t>/</w:t>
            </w:r>
            <w:r w:rsidR="00F12D5F">
              <w:rPr>
                <w:rFonts w:ascii="Arial" w:hAnsi="Arial" w:cs="Arial"/>
                <w:b/>
                <w:bCs/>
                <w:color w:val="000000"/>
              </w:rPr>
              <w:t>30</w:t>
            </w:r>
          </w:p>
        </w:tc>
      </w:tr>
      <w:tr w:rsidR="00534CEC" w:rsidRPr="00534CEC" w14:paraId="42DF6281" w14:textId="77777777" w:rsidTr="00837725">
        <w:trPr>
          <w:trHeight w:val="297"/>
          <w:jc w:val="center"/>
        </w:trPr>
        <w:tc>
          <w:tcPr>
            <w:tcW w:w="2655" w:type="dxa"/>
          </w:tcPr>
          <w:p w14:paraId="48F20166" w14:textId="77777777" w:rsidR="00534CEC" w:rsidRPr="00534CEC" w:rsidRDefault="00534CEC" w:rsidP="00837725">
            <w:pPr>
              <w:spacing w:line="259" w:lineRule="auto"/>
              <w:jc w:val="both"/>
              <w:rPr>
                <w:rFonts w:ascii="Arial" w:eastAsia="Arial" w:hAnsi="Arial" w:cs="Arial"/>
                <w:color w:val="000000"/>
                <w:highlight w:val="yellow"/>
              </w:rPr>
            </w:pPr>
          </w:p>
        </w:tc>
        <w:tc>
          <w:tcPr>
            <w:tcW w:w="1449" w:type="dxa"/>
          </w:tcPr>
          <w:p w14:paraId="072C8E49" w14:textId="77777777" w:rsidR="00534CEC" w:rsidRPr="00534CEC" w:rsidRDefault="00534CEC" w:rsidP="00837725">
            <w:pPr>
              <w:spacing w:line="259" w:lineRule="auto"/>
              <w:jc w:val="right"/>
              <w:rPr>
                <w:rFonts w:ascii="Arial" w:eastAsia="Arial" w:hAnsi="Arial" w:cs="Arial"/>
                <w:b/>
                <w:bCs/>
                <w:color w:val="000000"/>
              </w:rPr>
            </w:pPr>
            <w:r w:rsidRPr="00534CEC">
              <w:rPr>
                <w:rFonts w:ascii="Arial" w:eastAsia="Arial" w:hAnsi="Arial" w:cs="Arial"/>
                <w:b/>
                <w:bCs/>
                <w:color w:val="000000"/>
              </w:rPr>
              <w:t>£m</w:t>
            </w:r>
          </w:p>
        </w:tc>
        <w:tc>
          <w:tcPr>
            <w:tcW w:w="1527" w:type="dxa"/>
          </w:tcPr>
          <w:p w14:paraId="535B2D08" w14:textId="77777777" w:rsidR="00534CEC" w:rsidRPr="00534CEC" w:rsidRDefault="00534CEC" w:rsidP="00837725">
            <w:pPr>
              <w:spacing w:line="259" w:lineRule="auto"/>
              <w:jc w:val="right"/>
              <w:rPr>
                <w:rFonts w:ascii="Arial" w:eastAsia="Arial" w:hAnsi="Arial" w:cs="Arial"/>
                <w:b/>
                <w:bCs/>
                <w:color w:val="000000"/>
              </w:rPr>
            </w:pPr>
            <w:r w:rsidRPr="00534CEC">
              <w:rPr>
                <w:rFonts w:ascii="Arial" w:eastAsia="Arial" w:hAnsi="Arial" w:cs="Arial"/>
                <w:b/>
                <w:bCs/>
                <w:color w:val="000000"/>
              </w:rPr>
              <w:t>£m</w:t>
            </w:r>
          </w:p>
        </w:tc>
        <w:tc>
          <w:tcPr>
            <w:tcW w:w="1276" w:type="dxa"/>
          </w:tcPr>
          <w:p w14:paraId="6BDB73AE" w14:textId="77777777" w:rsidR="00534CEC" w:rsidRPr="00534CEC" w:rsidRDefault="00534CEC" w:rsidP="00837725">
            <w:pPr>
              <w:spacing w:line="259" w:lineRule="auto"/>
              <w:jc w:val="right"/>
              <w:rPr>
                <w:rFonts w:ascii="Arial" w:eastAsia="Arial" w:hAnsi="Arial" w:cs="Arial"/>
                <w:b/>
                <w:bCs/>
                <w:color w:val="000000"/>
              </w:rPr>
            </w:pPr>
            <w:r w:rsidRPr="00534CEC">
              <w:rPr>
                <w:rFonts w:ascii="Arial" w:eastAsia="Arial" w:hAnsi="Arial" w:cs="Arial"/>
                <w:b/>
                <w:bCs/>
                <w:color w:val="000000"/>
              </w:rPr>
              <w:t>£m</w:t>
            </w:r>
          </w:p>
        </w:tc>
        <w:tc>
          <w:tcPr>
            <w:tcW w:w="1418" w:type="dxa"/>
          </w:tcPr>
          <w:p w14:paraId="5CF1CA01" w14:textId="77777777" w:rsidR="00534CEC" w:rsidRPr="00534CEC" w:rsidRDefault="00534CEC" w:rsidP="00837725">
            <w:pPr>
              <w:spacing w:line="259" w:lineRule="auto"/>
              <w:jc w:val="right"/>
              <w:rPr>
                <w:rFonts w:ascii="Arial" w:eastAsia="Arial" w:hAnsi="Arial" w:cs="Arial"/>
                <w:b/>
                <w:bCs/>
                <w:color w:val="000000"/>
              </w:rPr>
            </w:pPr>
            <w:r w:rsidRPr="00534CEC">
              <w:rPr>
                <w:rFonts w:ascii="Arial" w:eastAsia="Arial" w:hAnsi="Arial" w:cs="Arial"/>
                <w:b/>
                <w:bCs/>
                <w:color w:val="000000"/>
              </w:rPr>
              <w:t>£m</w:t>
            </w:r>
          </w:p>
        </w:tc>
      </w:tr>
      <w:tr w:rsidR="00AE18CB" w:rsidRPr="00534CEC" w14:paraId="14C4E018" w14:textId="77777777" w:rsidTr="00837725">
        <w:trPr>
          <w:trHeight w:val="311"/>
          <w:jc w:val="center"/>
        </w:trPr>
        <w:tc>
          <w:tcPr>
            <w:tcW w:w="2655" w:type="dxa"/>
            <w:vAlign w:val="center"/>
          </w:tcPr>
          <w:p w14:paraId="0ED2B60C" w14:textId="77777777" w:rsidR="00AE18CB" w:rsidRPr="00534CEC" w:rsidRDefault="00AE18CB" w:rsidP="00AE18CB">
            <w:pPr>
              <w:spacing w:line="259" w:lineRule="auto"/>
              <w:jc w:val="both"/>
              <w:rPr>
                <w:rFonts w:ascii="Arial" w:eastAsia="Arial" w:hAnsi="Arial" w:cs="Arial"/>
                <w:color w:val="000000"/>
                <w:highlight w:val="yellow"/>
              </w:rPr>
            </w:pPr>
            <w:r w:rsidRPr="00534CEC">
              <w:rPr>
                <w:rFonts w:ascii="Arial" w:hAnsi="Arial" w:cs="Arial"/>
                <w:color w:val="000000"/>
              </w:rPr>
              <w:t>MRP</w:t>
            </w:r>
          </w:p>
        </w:tc>
        <w:tc>
          <w:tcPr>
            <w:tcW w:w="1449" w:type="dxa"/>
            <w:tcBorders>
              <w:top w:val="single" w:sz="8" w:space="0" w:color="auto"/>
              <w:left w:val="nil"/>
              <w:bottom w:val="single" w:sz="8" w:space="0" w:color="auto"/>
              <w:right w:val="single" w:sz="8" w:space="0" w:color="auto"/>
            </w:tcBorders>
            <w:vAlign w:val="center"/>
          </w:tcPr>
          <w:p w14:paraId="449EB344" w14:textId="43DFFCA8" w:rsidR="00AE18CB" w:rsidRPr="00534CEC" w:rsidRDefault="002B0438" w:rsidP="00AE18CB">
            <w:pPr>
              <w:spacing w:line="259" w:lineRule="auto"/>
              <w:jc w:val="right"/>
              <w:rPr>
                <w:rFonts w:ascii="Arial" w:eastAsia="Arial" w:hAnsi="Arial" w:cs="Arial"/>
                <w:color w:val="000000"/>
                <w:highlight w:val="yellow"/>
              </w:rPr>
            </w:pPr>
            <w:r>
              <w:rPr>
                <w:rFonts w:ascii="Arial" w:hAnsi="Arial" w:cs="Arial"/>
                <w:color w:val="000000"/>
              </w:rPr>
              <w:t>2.498</w:t>
            </w:r>
          </w:p>
        </w:tc>
        <w:tc>
          <w:tcPr>
            <w:tcW w:w="1527" w:type="dxa"/>
            <w:tcBorders>
              <w:top w:val="single" w:sz="8" w:space="0" w:color="auto"/>
              <w:left w:val="nil"/>
              <w:bottom w:val="single" w:sz="8" w:space="0" w:color="auto"/>
              <w:right w:val="single" w:sz="8" w:space="0" w:color="auto"/>
            </w:tcBorders>
            <w:vAlign w:val="center"/>
          </w:tcPr>
          <w:p w14:paraId="1750076E" w14:textId="2832852A" w:rsidR="00AE18CB" w:rsidRPr="00534CEC" w:rsidRDefault="00F564EA" w:rsidP="00AE18CB">
            <w:pPr>
              <w:spacing w:line="259" w:lineRule="auto"/>
              <w:jc w:val="right"/>
              <w:rPr>
                <w:rFonts w:ascii="Arial" w:eastAsia="Arial" w:hAnsi="Arial" w:cs="Arial"/>
                <w:color w:val="000000"/>
                <w:highlight w:val="yellow"/>
              </w:rPr>
            </w:pPr>
            <w:r>
              <w:rPr>
                <w:rFonts w:ascii="Arial" w:hAnsi="Arial" w:cs="Arial"/>
                <w:color w:val="000000"/>
              </w:rPr>
              <w:t>3.509</w:t>
            </w:r>
          </w:p>
        </w:tc>
        <w:tc>
          <w:tcPr>
            <w:tcW w:w="1276" w:type="dxa"/>
            <w:tcBorders>
              <w:top w:val="single" w:sz="8" w:space="0" w:color="auto"/>
              <w:left w:val="nil"/>
              <w:bottom w:val="single" w:sz="8" w:space="0" w:color="auto"/>
              <w:right w:val="single" w:sz="8" w:space="0" w:color="auto"/>
            </w:tcBorders>
            <w:vAlign w:val="center"/>
          </w:tcPr>
          <w:p w14:paraId="7439C4A0" w14:textId="044826F8" w:rsidR="00AE18CB" w:rsidRPr="00534CEC" w:rsidRDefault="00F564EA" w:rsidP="00AE18CB">
            <w:pPr>
              <w:spacing w:line="259" w:lineRule="auto"/>
              <w:jc w:val="right"/>
              <w:rPr>
                <w:rFonts w:ascii="Arial" w:eastAsia="Arial" w:hAnsi="Arial" w:cs="Arial"/>
                <w:color w:val="000000"/>
                <w:highlight w:val="yellow"/>
              </w:rPr>
            </w:pPr>
            <w:r>
              <w:rPr>
                <w:rFonts w:ascii="Arial" w:hAnsi="Arial" w:cs="Arial"/>
                <w:color w:val="000000"/>
              </w:rPr>
              <w:t>3.958</w:t>
            </w:r>
          </w:p>
        </w:tc>
        <w:tc>
          <w:tcPr>
            <w:tcW w:w="1418" w:type="dxa"/>
            <w:tcBorders>
              <w:top w:val="single" w:sz="8" w:space="0" w:color="auto"/>
              <w:left w:val="nil"/>
              <w:bottom w:val="single" w:sz="8" w:space="0" w:color="auto"/>
              <w:right w:val="single" w:sz="8" w:space="0" w:color="auto"/>
            </w:tcBorders>
            <w:vAlign w:val="center"/>
          </w:tcPr>
          <w:p w14:paraId="67391AC5" w14:textId="7104A5E2" w:rsidR="00AE18CB" w:rsidRPr="00534CEC" w:rsidRDefault="00F564EA" w:rsidP="00AE18CB">
            <w:pPr>
              <w:spacing w:line="259" w:lineRule="auto"/>
              <w:jc w:val="right"/>
              <w:rPr>
                <w:rFonts w:ascii="Arial" w:eastAsia="Arial" w:hAnsi="Arial" w:cs="Arial"/>
                <w:color w:val="000000"/>
                <w:highlight w:val="yellow"/>
              </w:rPr>
            </w:pPr>
            <w:r>
              <w:rPr>
                <w:rFonts w:ascii="Arial" w:eastAsia="Arial" w:hAnsi="Arial" w:cs="Arial"/>
                <w:color w:val="000000"/>
              </w:rPr>
              <w:t>4.478</w:t>
            </w:r>
          </w:p>
        </w:tc>
      </w:tr>
      <w:tr w:rsidR="00534CEC" w:rsidRPr="00534CEC" w14:paraId="041B2538" w14:textId="77777777" w:rsidTr="00837725">
        <w:trPr>
          <w:trHeight w:val="327"/>
          <w:jc w:val="center"/>
        </w:trPr>
        <w:tc>
          <w:tcPr>
            <w:tcW w:w="2655" w:type="dxa"/>
            <w:vAlign w:val="center"/>
          </w:tcPr>
          <w:p w14:paraId="5FD5BB1B" w14:textId="77777777" w:rsidR="00534CEC" w:rsidRPr="00534CEC" w:rsidRDefault="00534CEC" w:rsidP="00837725">
            <w:pPr>
              <w:spacing w:line="259" w:lineRule="auto"/>
              <w:jc w:val="both"/>
              <w:rPr>
                <w:rFonts w:ascii="Arial" w:eastAsia="Arial" w:hAnsi="Arial" w:cs="Arial"/>
                <w:color w:val="000000"/>
                <w:highlight w:val="yellow"/>
              </w:rPr>
            </w:pPr>
            <w:r w:rsidRPr="00534CEC">
              <w:rPr>
                <w:rFonts w:ascii="Arial" w:hAnsi="Arial" w:cs="Arial"/>
                <w:color w:val="000000"/>
              </w:rPr>
              <w:t xml:space="preserve">Interest payable   </w:t>
            </w:r>
          </w:p>
        </w:tc>
        <w:tc>
          <w:tcPr>
            <w:tcW w:w="1449" w:type="dxa"/>
            <w:tcBorders>
              <w:top w:val="nil"/>
              <w:left w:val="single" w:sz="8" w:space="0" w:color="auto"/>
              <w:bottom w:val="single" w:sz="8" w:space="0" w:color="auto"/>
              <w:right w:val="single" w:sz="8" w:space="0" w:color="auto"/>
            </w:tcBorders>
            <w:vAlign w:val="center"/>
          </w:tcPr>
          <w:p w14:paraId="2577D21A" w14:textId="4CA9EB60" w:rsidR="00534CEC" w:rsidRPr="002A4464" w:rsidRDefault="00565D54" w:rsidP="00837725">
            <w:pPr>
              <w:spacing w:line="259" w:lineRule="auto"/>
              <w:jc w:val="right"/>
              <w:rPr>
                <w:rFonts w:ascii="Arial" w:eastAsia="Arial" w:hAnsi="Arial" w:cs="Arial"/>
                <w:highlight w:val="yellow"/>
              </w:rPr>
            </w:pPr>
            <w:r>
              <w:rPr>
                <w:rFonts w:ascii="Arial" w:hAnsi="Arial" w:cs="Arial"/>
              </w:rPr>
              <w:t>5.89</w:t>
            </w:r>
            <w:r w:rsidR="00F564EA">
              <w:rPr>
                <w:rFonts w:ascii="Arial" w:hAnsi="Arial" w:cs="Arial"/>
              </w:rPr>
              <w:t>3</w:t>
            </w:r>
          </w:p>
        </w:tc>
        <w:tc>
          <w:tcPr>
            <w:tcW w:w="1527" w:type="dxa"/>
            <w:tcBorders>
              <w:top w:val="nil"/>
              <w:left w:val="nil"/>
              <w:bottom w:val="single" w:sz="8" w:space="0" w:color="auto"/>
              <w:right w:val="single" w:sz="8" w:space="0" w:color="auto"/>
            </w:tcBorders>
            <w:vAlign w:val="center"/>
          </w:tcPr>
          <w:p w14:paraId="00C3FA61" w14:textId="7936EBF3" w:rsidR="00534CEC" w:rsidRPr="002A4464" w:rsidRDefault="0002498F" w:rsidP="00837725">
            <w:pPr>
              <w:spacing w:line="259" w:lineRule="auto"/>
              <w:jc w:val="right"/>
              <w:rPr>
                <w:rFonts w:ascii="Arial" w:eastAsia="Arial" w:hAnsi="Arial" w:cs="Arial"/>
                <w:highlight w:val="yellow"/>
              </w:rPr>
            </w:pPr>
            <w:r>
              <w:rPr>
                <w:rFonts w:ascii="Arial" w:eastAsia="Arial" w:hAnsi="Arial" w:cs="Arial"/>
              </w:rPr>
              <w:t>8</w:t>
            </w:r>
            <w:r w:rsidR="00AF19B3">
              <w:rPr>
                <w:rFonts w:ascii="Arial" w:eastAsia="Arial" w:hAnsi="Arial" w:cs="Arial"/>
              </w:rPr>
              <w:t>.132</w:t>
            </w:r>
          </w:p>
        </w:tc>
        <w:tc>
          <w:tcPr>
            <w:tcW w:w="1276" w:type="dxa"/>
            <w:tcBorders>
              <w:top w:val="nil"/>
              <w:left w:val="nil"/>
              <w:bottom w:val="single" w:sz="8" w:space="0" w:color="auto"/>
              <w:right w:val="single" w:sz="8" w:space="0" w:color="auto"/>
            </w:tcBorders>
            <w:vAlign w:val="center"/>
          </w:tcPr>
          <w:p w14:paraId="796900ED" w14:textId="7904365E" w:rsidR="00534CEC" w:rsidRPr="002A4464" w:rsidRDefault="009C7DDF" w:rsidP="00837725">
            <w:pPr>
              <w:spacing w:line="259" w:lineRule="auto"/>
              <w:jc w:val="right"/>
              <w:rPr>
                <w:rFonts w:ascii="Arial" w:eastAsia="Arial" w:hAnsi="Arial" w:cs="Arial"/>
              </w:rPr>
            </w:pPr>
            <w:r>
              <w:rPr>
                <w:rFonts w:ascii="Arial" w:eastAsia="Arial" w:hAnsi="Arial" w:cs="Arial"/>
              </w:rPr>
              <w:t>11.618</w:t>
            </w:r>
          </w:p>
        </w:tc>
        <w:tc>
          <w:tcPr>
            <w:tcW w:w="1418" w:type="dxa"/>
            <w:tcBorders>
              <w:top w:val="nil"/>
              <w:left w:val="nil"/>
              <w:bottom w:val="single" w:sz="8" w:space="0" w:color="auto"/>
              <w:right w:val="single" w:sz="8" w:space="0" w:color="auto"/>
            </w:tcBorders>
            <w:vAlign w:val="center"/>
          </w:tcPr>
          <w:p w14:paraId="4C556BF3" w14:textId="3D95938F" w:rsidR="00534CEC" w:rsidRPr="002A4464" w:rsidRDefault="00424E17" w:rsidP="00837725">
            <w:pPr>
              <w:spacing w:line="259" w:lineRule="auto"/>
              <w:jc w:val="right"/>
              <w:rPr>
                <w:rFonts w:ascii="Arial" w:eastAsia="Arial" w:hAnsi="Arial" w:cs="Arial"/>
              </w:rPr>
            </w:pPr>
            <w:r>
              <w:rPr>
                <w:rFonts w:ascii="Arial" w:hAnsi="Arial" w:cs="Arial"/>
              </w:rPr>
              <w:t>14.584</w:t>
            </w:r>
          </w:p>
        </w:tc>
      </w:tr>
      <w:tr w:rsidR="00534CEC" w:rsidRPr="00534CEC" w14:paraId="3BDCDA80" w14:textId="77777777" w:rsidTr="00837725">
        <w:trPr>
          <w:trHeight w:val="358"/>
          <w:jc w:val="center"/>
        </w:trPr>
        <w:tc>
          <w:tcPr>
            <w:tcW w:w="2655" w:type="dxa"/>
            <w:vAlign w:val="center"/>
          </w:tcPr>
          <w:p w14:paraId="206F83F4" w14:textId="77777777" w:rsidR="00534CEC" w:rsidRPr="00534CEC" w:rsidRDefault="00534CEC" w:rsidP="00837725">
            <w:pPr>
              <w:spacing w:line="259" w:lineRule="auto"/>
              <w:jc w:val="both"/>
              <w:rPr>
                <w:rFonts w:ascii="Arial" w:eastAsia="Arial" w:hAnsi="Arial" w:cs="Arial"/>
                <w:color w:val="000000"/>
                <w:highlight w:val="yellow"/>
              </w:rPr>
            </w:pPr>
            <w:r w:rsidRPr="00534CEC">
              <w:rPr>
                <w:rFonts w:ascii="Arial" w:hAnsi="Arial" w:cs="Arial"/>
                <w:color w:val="000000"/>
              </w:rPr>
              <w:t>Interest receivable</w:t>
            </w:r>
          </w:p>
        </w:tc>
        <w:tc>
          <w:tcPr>
            <w:tcW w:w="1449" w:type="dxa"/>
            <w:tcBorders>
              <w:top w:val="nil"/>
              <w:left w:val="single" w:sz="8" w:space="0" w:color="auto"/>
              <w:bottom w:val="single" w:sz="8" w:space="0" w:color="auto"/>
              <w:right w:val="single" w:sz="8" w:space="0" w:color="auto"/>
            </w:tcBorders>
            <w:vAlign w:val="center"/>
          </w:tcPr>
          <w:p w14:paraId="7125DA5D" w14:textId="46671A17" w:rsidR="00534CEC" w:rsidRPr="00534CEC" w:rsidRDefault="00534CEC" w:rsidP="00837725">
            <w:pPr>
              <w:spacing w:line="259" w:lineRule="auto"/>
              <w:jc w:val="right"/>
              <w:rPr>
                <w:rFonts w:ascii="Arial" w:eastAsia="Arial" w:hAnsi="Arial" w:cs="Arial"/>
                <w:color w:val="000000"/>
                <w:highlight w:val="yellow"/>
              </w:rPr>
            </w:pPr>
            <w:r w:rsidRPr="00534CEC">
              <w:rPr>
                <w:rFonts w:ascii="Arial" w:hAnsi="Arial" w:cs="Arial"/>
                <w:color w:val="000000"/>
              </w:rPr>
              <w:t>-</w:t>
            </w:r>
            <w:r w:rsidR="00531DE2">
              <w:rPr>
                <w:rFonts w:ascii="Arial" w:hAnsi="Arial" w:cs="Arial"/>
                <w:color w:val="000000"/>
              </w:rPr>
              <w:t>2</w:t>
            </w:r>
            <w:r w:rsidRPr="00534CEC">
              <w:rPr>
                <w:rFonts w:ascii="Arial" w:hAnsi="Arial" w:cs="Arial"/>
                <w:color w:val="000000"/>
              </w:rPr>
              <w:t>.</w:t>
            </w:r>
            <w:r w:rsidR="00531DE2">
              <w:rPr>
                <w:rFonts w:ascii="Arial" w:hAnsi="Arial" w:cs="Arial"/>
                <w:color w:val="000000"/>
              </w:rPr>
              <w:t>0</w:t>
            </w:r>
            <w:r w:rsidRPr="00534CEC">
              <w:rPr>
                <w:rFonts w:ascii="Arial" w:hAnsi="Arial" w:cs="Arial"/>
                <w:color w:val="000000"/>
              </w:rPr>
              <w:t>00</w:t>
            </w:r>
          </w:p>
        </w:tc>
        <w:tc>
          <w:tcPr>
            <w:tcW w:w="1527" w:type="dxa"/>
            <w:tcBorders>
              <w:top w:val="nil"/>
              <w:left w:val="nil"/>
              <w:bottom w:val="single" w:sz="8" w:space="0" w:color="auto"/>
              <w:right w:val="single" w:sz="8" w:space="0" w:color="auto"/>
            </w:tcBorders>
            <w:vAlign w:val="center"/>
          </w:tcPr>
          <w:p w14:paraId="543720DD" w14:textId="29DA1977" w:rsidR="00534CEC" w:rsidRPr="00534CEC" w:rsidRDefault="00534CEC" w:rsidP="00837725">
            <w:pPr>
              <w:spacing w:line="259" w:lineRule="auto"/>
              <w:jc w:val="right"/>
              <w:rPr>
                <w:rFonts w:ascii="Arial" w:eastAsia="Arial" w:hAnsi="Arial" w:cs="Arial"/>
                <w:color w:val="000000"/>
                <w:highlight w:val="yellow"/>
              </w:rPr>
            </w:pPr>
            <w:r w:rsidRPr="00534CEC">
              <w:rPr>
                <w:rFonts w:ascii="Arial" w:hAnsi="Arial" w:cs="Arial"/>
                <w:color w:val="000000"/>
              </w:rPr>
              <w:t>-</w:t>
            </w:r>
            <w:r w:rsidR="0002498F">
              <w:rPr>
                <w:rFonts w:ascii="Arial" w:hAnsi="Arial" w:cs="Arial"/>
                <w:color w:val="000000"/>
              </w:rPr>
              <w:t>2</w:t>
            </w:r>
            <w:r w:rsidRPr="00534CEC">
              <w:rPr>
                <w:rFonts w:ascii="Arial" w:hAnsi="Arial" w:cs="Arial"/>
                <w:color w:val="000000"/>
              </w:rPr>
              <w:t>.</w:t>
            </w:r>
            <w:r w:rsidR="0002498F">
              <w:rPr>
                <w:rFonts w:ascii="Arial" w:hAnsi="Arial" w:cs="Arial"/>
                <w:color w:val="000000"/>
              </w:rPr>
              <w:t>0</w:t>
            </w:r>
            <w:r w:rsidRPr="00534CEC">
              <w:rPr>
                <w:rFonts w:ascii="Arial" w:hAnsi="Arial" w:cs="Arial"/>
                <w:color w:val="000000"/>
              </w:rPr>
              <w:t>00</w:t>
            </w:r>
          </w:p>
        </w:tc>
        <w:tc>
          <w:tcPr>
            <w:tcW w:w="1276" w:type="dxa"/>
            <w:tcBorders>
              <w:top w:val="nil"/>
              <w:left w:val="nil"/>
              <w:bottom w:val="single" w:sz="8" w:space="0" w:color="auto"/>
              <w:right w:val="single" w:sz="8" w:space="0" w:color="auto"/>
            </w:tcBorders>
            <w:vAlign w:val="center"/>
          </w:tcPr>
          <w:p w14:paraId="61F49A85" w14:textId="31FF9203" w:rsidR="00534CEC" w:rsidRPr="00534CEC" w:rsidRDefault="00534CEC" w:rsidP="00837725">
            <w:pPr>
              <w:spacing w:line="259" w:lineRule="auto"/>
              <w:jc w:val="right"/>
              <w:rPr>
                <w:rFonts w:ascii="Arial" w:eastAsia="Arial" w:hAnsi="Arial" w:cs="Arial"/>
                <w:color w:val="000000"/>
                <w:highlight w:val="yellow"/>
              </w:rPr>
            </w:pPr>
            <w:r w:rsidRPr="00534CEC">
              <w:rPr>
                <w:rFonts w:ascii="Arial" w:hAnsi="Arial" w:cs="Arial"/>
                <w:color w:val="000000"/>
              </w:rPr>
              <w:t>-</w:t>
            </w:r>
            <w:r w:rsidR="009D0D2D">
              <w:rPr>
                <w:rFonts w:ascii="Arial" w:hAnsi="Arial" w:cs="Arial"/>
                <w:color w:val="000000"/>
              </w:rPr>
              <w:t>2</w:t>
            </w:r>
            <w:r w:rsidRPr="00534CEC">
              <w:rPr>
                <w:rFonts w:ascii="Arial" w:hAnsi="Arial" w:cs="Arial"/>
                <w:color w:val="000000"/>
              </w:rPr>
              <w:t>.000</w:t>
            </w:r>
          </w:p>
        </w:tc>
        <w:tc>
          <w:tcPr>
            <w:tcW w:w="1418" w:type="dxa"/>
            <w:tcBorders>
              <w:top w:val="nil"/>
              <w:left w:val="nil"/>
              <w:bottom w:val="single" w:sz="8" w:space="0" w:color="auto"/>
              <w:right w:val="single" w:sz="8" w:space="0" w:color="auto"/>
            </w:tcBorders>
            <w:vAlign w:val="center"/>
          </w:tcPr>
          <w:p w14:paraId="7FD8D128" w14:textId="62AF7A75" w:rsidR="00534CEC" w:rsidRPr="00534CEC" w:rsidRDefault="00534CEC" w:rsidP="00837725">
            <w:pPr>
              <w:spacing w:line="259" w:lineRule="auto"/>
              <w:jc w:val="right"/>
              <w:rPr>
                <w:rFonts w:ascii="Arial" w:eastAsia="Arial" w:hAnsi="Arial" w:cs="Arial"/>
                <w:color w:val="000000"/>
                <w:highlight w:val="yellow"/>
              </w:rPr>
            </w:pPr>
            <w:r w:rsidRPr="00534CEC">
              <w:rPr>
                <w:rFonts w:ascii="Arial" w:hAnsi="Arial" w:cs="Arial"/>
                <w:color w:val="000000"/>
              </w:rPr>
              <w:t>-</w:t>
            </w:r>
            <w:r w:rsidR="009C7DDF">
              <w:rPr>
                <w:rFonts w:ascii="Arial" w:hAnsi="Arial" w:cs="Arial"/>
                <w:color w:val="000000"/>
              </w:rPr>
              <w:t>2</w:t>
            </w:r>
            <w:r w:rsidRPr="00534CEC">
              <w:rPr>
                <w:rFonts w:ascii="Arial" w:hAnsi="Arial" w:cs="Arial"/>
                <w:color w:val="000000"/>
              </w:rPr>
              <w:t>.000</w:t>
            </w:r>
          </w:p>
        </w:tc>
      </w:tr>
      <w:tr w:rsidR="00534CEC" w:rsidRPr="00534CEC" w14:paraId="005C6CFE" w14:textId="77777777" w:rsidTr="00837725">
        <w:trPr>
          <w:trHeight w:val="327"/>
          <w:jc w:val="center"/>
        </w:trPr>
        <w:tc>
          <w:tcPr>
            <w:tcW w:w="2655" w:type="dxa"/>
            <w:vAlign w:val="center"/>
          </w:tcPr>
          <w:p w14:paraId="22B73ACA" w14:textId="77777777" w:rsidR="00534CEC" w:rsidRPr="00534CEC" w:rsidRDefault="00534CEC" w:rsidP="00837725">
            <w:pPr>
              <w:spacing w:line="259" w:lineRule="auto"/>
              <w:jc w:val="both"/>
              <w:rPr>
                <w:rFonts w:ascii="Arial" w:eastAsia="Arial" w:hAnsi="Arial" w:cs="Arial"/>
                <w:b/>
                <w:bCs/>
                <w:color w:val="000000"/>
                <w:highlight w:val="yellow"/>
              </w:rPr>
            </w:pPr>
            <w:r w:rsidRPr="00534CEC">
              <w:rPr>
                <w:rFonts w:ascii="Arial" w:hAnsi="Arial" w:cs="Arial"/>
                <w:b/>
                <w:bCs/>
                <w:color w:val="000000"/>
              </w:rPr>
              <w:t>Net budget</w:t>
            </w:r>
          </w:p>
        </w:tc>
        <w:tc>
          <w:tcPr>
            <w:tcW w:w="1449" w:type="dxa"/>
            <w:tcBorders>
              <w:top w:val="nil"/>
              <w:left w:val="single" w:sz="8" w:space="0" w:color="auto"/>
              <w:bottom w:val="single" w:sz="8" w:space="0" w:color="auto"/>
              <w:right w:val="single" w:sz="8" w:space="0" w:color="auto"/>
            </w:tcBorders>
            <w:shd w:val="clear" w:color="000000" w:fill="FFFFFF"/>
            <w:vAlign w:val="center"/>
          </w:tcPr>
          <w:p w14:paraId="6A572C80" w14:textId="5AD1A508" w:rsidR="00534CEC" w:rsidRPr="00534CEC" w:rsidRDefault="002A4464" w:rsidP="00837725">
            <w:pPr>
              <w:spacing w:line="259" w:lineRule="auto"/>
              <w:jc w:val="right"/>
              <w:rPr>
                <w:rFonts w:ascii="Arial" w:eastAsia="Arial" w:hAnsi="Arial" w:cs="Arial"/>
                <w:b/>
                <w:bCs/>
                <w:color w:val="000000"/>
                <w:highlight w:val="yellow"/>
              </w:rPr>
            </w:pPr>
            <w:r>
              <w:rPr>
                <w:rFonts w:ascii="Arial" w:hAnsi="Arial" w:cs="Arial"/>
                <w:b/>
                <w:bCs/>
                <w:color w:val="000000"/>
              </w:rPr>
              <w:t>6.</w:t>
            </w:r>
            <w:r w:rsidR="00693491">
              <w:rPr>
                <w:rFonts w:ascii="Arial" w:hAnsi="Arial" w:cs="Arial"/>
                <w:b/>
                <w:bCs/>
                <w:color w:val="000000"/>
              </w:rPr>
              <w:t>391</w:t>
            </w:r>
          </w:p>
        </w:tc>
        <w:tc>
          <w:tcPr>
            <w:tcW w:w="1527" w:type="dxa"/>
            <w:tcBorders>
              <w:top w:val="nil"/>
              <w:left w:val="nil"/>
              <w:bottom w:val="single" w:sz="8" w:space="0" w:color="auto"/>
              <w:right w:val="single" w:sz="8" w:space="0" w:color="auto"/>
            </w:tcBorders>
            <w:shd w:val="clear" w:color="000000" w:fill="FFFFFF"/>
            <w:vAlign w:val="center"/>
          </w:tcPr>
          <w:p w14:paraId="2D531187" w14:textId="3A8A2823" w:rsidR="00534CEC" w:rsidRPr="00534CEC" w:rsidRDefault="00925A48" w:rsidP="00837725">
            <w:pPr>
              <w:spacing w:line="259" w:lineRule="auto"/>
              <w:jc w:val="right"/>
              <w:rPr>
                <w:rFonts w:ascii="Arial" w:eastAsia="Arial" w:hAnsi="Arial" w:cs="Arial"/>
                <w:b/>
                <w:bCs/>
                <w:color w:val="000000"/>
                <w:highlight w:val="yellow"/>
              </w:rPr>
            </w:pPr>
            <w:r>
              <w:rPr>
                <w:rFonts w:ascii="Arial" w:hAnsi="Arial" w:cs="Arial"/>
                <w:b/>
                <w:bCs/>
                <w:color w:val="000000"/>
              </w:rPr>
              <w:t>9.641</w:t>
            </w:r>
          </w:p>
        </w:tc>
        <w:tc>
          <w:tcPr>
            <w:tcW w:w="1276" w:type="dxa"/>
            <w:tcBorders>
              <w:top w:val="nil"/>
              <w:left w:val="nil"/>
              <w:bottom w:val="single" w:sz="8" w:space="0" w:color="auto"/>
              <w:right w:val="single" w:sz="8" w:space="0" w:color="auto"/>
            </w:tcBorders>
            <w:shd w:val="clear" w:color="000000" w:fill="FFFFFF"/>
            <w:vAlign w:val="center"/>
          </w:tcPr>
          <w:p w14:paraId="66D43884" w14:textId="2D534A07" w:rsidR="00534CEC" w:rsidRPr="00EE7689" w:rsidRDefault="00DA60FA" w:rsidP="00837725">
            <w:pPr>
              <w:spacing w:line="259" w:lineRule="auto"/>
              <w:jc w:val="right"/>
              <w:rPr>
                <w:rFonts w:ascii="Arial" w:eastAsia="Arial" w:hAnsi="Arial" w:cs="Arial"/>
                <w:b/>
                <w:bCs/>
                <w:color w:val="000000"/>
              </w:rPr>
            </w:pPr>
            <w:r>
              <w:rPr>
                <w:rFonts w:ascii="Arial" w:eastAsia="Arial" w:hAnsi="Arial" w:cs="Arial"/>
                <w:b/>
                <w:bCs/>
                <w:color w:val="000000"/>
              </w:rPr>
              <w:t>13.576</w:t>
            </w:r>
          </w:p>
        </w:tc>
        <w:tc>
          <w:tcPr>
            <w:tcW w:w="1418" w:type="dxa"/>
            <w:tcBorders>
              <w:top w:val="nil"/>
              <w:left w:val="nil"/>
              <w:bottom w:val="single" w:sz="8" w:space="0" w:color="auto"/>
              <w:right w:val="single" w:sz="8" w:space="0" w:color="auto"/>
            </w:tcBorders>
            <w:shd w:val="clear" w:color="000000" w:fill="FFFFFF"/>
            <w:vAlign w:val="center"/>
          </w:tcPr>
          <w:p w14:paraId="7688FCF0" w14:textId="2B5C40AA" w:rsidR="00534CEC" w:rsidRPr="00EE7689" w:rsidRDefault="00914509" w:rsidP="00837725">
            <w:pPr>
              <w:spacing w:line="259" w:lineRule="auto"/>
              <w:jc w:val="right"/>
              <w:rPr>
                <w:rFonts w:ascii="Arial" w:eastAsia="Arial" w:hAnsi="Arial" w:cs="Arial"/>
                <w:b/>
                <w:bCs/>
                <w:color w:val="000000"/>
              </w:rPr>
            </w:pPr>
            <w:r>
              <w:rPr>
                <w:rFonts w:ascii="Arial" w:eastAsia="Arial" w:hAnsi="Arial" w:cs="Arial"/>
                <w:b/>
                <w:bCs/>
                <w:color w:val="000000"/>
              </w:rPr>
              <w:t>17.062</w:t>
            </w:r>
          </w:p>
        </w:tc>
      </w:tr>
      <w:bookmarkEnd w:id="2"/>
    </w:tbl>
    <w:p w14:paraId="4AD10DC5" w14:textId="28BD31E3" w:rsidR="00D33DFE" w:rsidRDefault="00D33DFE">
      <w:pPr>
        <w:spacing w:after="0" w:line="240" w:lineRule="auto"/>
        <w:rPr>
          <w:rFonts w:ascii="Arial" w:eastAsia="Times New Roman" w:hAnsi="Arial" w:cs="Arial"/>
          <w:b/>
          <w:sz w:val="24"/>
          <w:szCs w:val="24"/>
          <w:lang w:eastAsia="en-GB"/>
        </w:rPr>
      </w:pPr>
    </w:p>
    <w:p w14:paraId="64496DDA" w14:textId="77777777" w:rsidR="00193B6F" w:rsidRDefault="00193B6F">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br w:type="page"/>
      </w:r>
    </w:p>
    <w:p w14:paraId="4E25FAEE" w14:textId="3C6AB25D" w:rsidR="004C7386" w:rsidRPr="00D309D2" w:rsidRDefault="004C7386" w:rsidP="004C7386">
      <w:pPr>
        <w:spacing w:before="270" w:after="120" w:line="240" w:lineRule="auto"/>
        <w:ind w:left="720" w:hanging="720"/>
        <w:rPr>
          <w:rFonts w:ascii="Arial" w:eastAsia="Times New Roman" w:hAnsi="Arial" w:cs="Arial"/>
          <w:b/>
          <w:lang w:eastAsia="en-GB"/>
        </w:rPr>
      </w:pPr>
      <w:r>
        <w:rPr>
          <w:rFonts w:ascii="Arial" w:eastAsia="Times New Roman" w:hAnsi="Arial" w:cs="Arial"/>
          <w:b/>
          <w:sz w:val="24"/>
          <w:szCs w:val="24"/>
          <w:lang w:eastAsia="en-GB"/>
        </w:rPr>
        <w:lastRenderedPageBreak/>
        <w:t>15.</w:t>
      </w:r>
      <w:r>
        <w:rPr>
          <w:rFonts w:ascii="Arial" w:eastAsia="Times New Roman" w:hAnsi="Arial" w:cs="Arial"/>
          <w:b/>
          <w:sz w:val="24"/>
          <w:szCs w:val="24"/>
          <w:lang w:eastAsia="en-GB"/>
        </w:rPr>
        <w:tab/>
      </w:r>
      <w:r w:rsidRPr="00D309D2">
        <w:rPr>
          <w:rFonts w:ascii="Arial" w:eastAsia="Times New Roman" w:hAnsi="Arial" w:cs="Arial"/>
          <w:b/>
          <w:lang w:eastAsia="en-GB"/>
        </w:rPr>
        <w:t>Prudential Indicators for the Police and Crime Commissioner's Treasury Management Activities.</w:t>
      </w:r>
    </w:p>
    <w:p w14:paraId="22185CF9" w14:textId="7A68AB06" w:rsidR="004C7386" w:rsidRPr="00D309D2" w:rsidRDefault="004C7386" w:rsidP="004C7386">
      <w:pPr>
        <w:pStyle w:val="ListParagraph"/>
        <w:numPr>
          <w:ilvl w:val="1"/>
          <w:numId w:val="18"/>
        </w:numPr>
        <w:spacing w:after="120" w:line="240" w:lineRule="auto"/>
        <w:rPr>
          <w:rFonts w:ascii="Arial" w:eastAsia="Times New Roman" w:hAnsi="Arial" w:cs="Arial"/>
          <w:lang w:eastAsia="en-GB"/>
        </w:rPr>
      </w:pPr>
      <w:r w:rsidRPr="00D309D2">
        <w:rPr>
          <w:rFonts w:ascii="Arial" w:eastAsia="Times New Roman" w:hAnsi="Arial" w:cs="Arial"/>
          <w:lang w:eastAsia="en-GB"/>
        </w:rPr>
        <w:t>In accordance with its statutory duty and with the requirements of the Prudential Code for Capital Finance and the CIPFA Code for Treasury Management, every local authority produces each year a set of prudential indicators which regulate and control its treasury management activities.</w:t>
      </w:r>
    </w:p>
    <w:p w14:paraId="0900B17F" w14:textId="77777777" w:rsidR="004C7386" w:rsidRPr="00D309D2" w:rsidRDefault="004C7386" w:rsidP="004C7386">
      <w:pPr>
        <w:pStyle w:val="ListParagraph"/>
        <w:spacing w:after="120" w:line="240" w:lineRule="auto"/>
        <w:rPr>
          <w:rFonts w:ascii="Arial" w:eastAsia="Times New Roman" w:hAnsi="Arial" w:cs="Arial"/>
          <w:lang w:eastAsia="en-GB"/>
        </w:rPr>
      </w:pPr>
    </w:p>
    <w:p w14:paraId="71A53E16" w14:textId="7911C682" w:rsidR="00881FD7" w:rsidRPr="00881FD7" w:rsidRDefault="00881FD7" w:rsidP="00881FD7">
      <w:pPr>
        <w:pStyle w:val="ListParagraph"/>
        <w:numPr>
          <w:ilvl w:val="1"/>
          <w:numId w:val="18"/>
        </w:numPr>
        <w:jc w:val="both"/>
        <w:rPr>
          <w:rFonts w:ascii="Arial" w:hAnsi="Arial" w:cs="Arial"/>
          <w:bCs/>
          <w:sz w:val="24"/>
          <w:szCs w:val="24"/>
        </w:rPr>
      </w:pPr>
      <w:r w:rsidRPr="00D309D2">
        <w:rPr>
          <w:rFonts w:ascii="Arial" w:hAnsi="Arial" w:cs="Arial"/>
          <w:bCs/>
        </w:rPr>
        <w:t>The Authority measures and manages its exposures to treasury management risks using the following indicators</w:t>
      </w:r>
      <w:r w:rsidRPr="00881FD7">
        <w:rPr>
          <w:rFonts w:ascii="Arial" w:hAnsi="Arial" w:cs="Arial"/>
          <w:bCs/>
          <w:sz w:val="24"/>
          <w:szCs w:val="24"/>
        </w:rPr>
        <w:t>.</w:t>
      </w:r>
    </w:p>
    <w:p w14:paraId="14A97858" w14:textId="77777777" w:rsidR="00881FD7" w:rsidRPr="003A6C38" w:rsidRDefault="00881FD7" w:rsidP="00881FD7">
      <w:pPr>
        <w:pStyle w:val="ListParagraph"/>
        <w:rPr>
          <w:rFonts w:ascii="Arial" w:eastAsia="Times New Roman" w:hAnsi="Arial" w:cs="Arial"/>
          <w:lang w:eastAsia="en-GB"/>
        </w:rPr>
      </w:pPr>
    </w:p>
    <w:p w14:paraId="3CFEC3C7" w14:textId="4FFA6E08" w:rsidR="00881FD7" w:rsidRPr="003A6C38" w:rsidRDefault="00881FD7" w:rsidP="00881FD7">
      <w:pPr>
        <w:pStyle w:val="ListParagraph"/>
        <w:spacing w:after="120" w:line="240" w:lineRule="auto"/>
        <w:rPr>
          <w:rFonts w:ascii="Arial" w:eastAsia="Times New Roman" w:hAnsi="Arial" w:cs="Arial"/>
          <w:b/>
          <w:bCs/>
          <w:lang w:eastAsia="en-GB"/>
        </w:rPr>
      </w:pPr>
      <w:r w:rsidRPr="003A6C38">
        <w:rPr>
          <w:rFonts w:ascii="Arial" w:eastAsia="Times New Roman" w:hAnsi="Arial" w:cs="Arial"/>
          <w:b/>
          <w:bCs/>
          <w:lang w:eastAsia="en-GB"/>
        </w:rPr>
        <w:t>Prudential Indicators</w:t>
      </w:r>
    </w:p>
    <w:p w14:paraId="0581304D" w14:textId="77777777" w:rsidR="00881FD7" w:rsidRPr="003A6C38" w:rsidRDefault="00881FD7" w:rsidP="00881FD7">
      <w:pPr>
        <w:pStyle w:val="ListParagraph"/>
        <w:spacing w:after="120" w:line="240" w:lineRule="auto"/>
        <w:rPr>
          <w:rFonts w:ascii="Arial" w:eastAsia="Times New Roman" w:hAnsi="Arial" w:cs="Arial"/>
          <w:b/>
          <w:bCs/>
          <w:lang w:eastAsia="en-GB"/>
        </w:rPr>
      </w:pPr>
    </w:p>
    <w:p w14:paraId="4877A4F5" w14:textId="77777777" w:rsidR="00881FD7" w:rsidRPr="003A6C38" w:rsidRDefault="00881FD7" w:rsidP="00881FD7">
      <w:pPr>
        <w:ind w:left="720"/>
        <w:jc w:val="both"/>
        <w:rPr>
          <w:rFonts w:ascii="Arial" w:hAnsi="Arial" w:cs="Arial"/>
          <w:b/>
          <w:bCs/>
        </w:rPr>
      </w:pPr>
      <w:r w:rsidRPr="003A6C38">
        <w:rPr>
          <w:rFonts w:ascii="Arial" w:hAnsi="Arial" w:cs="Arial"/>
          <w:b/>
          <w:bCs/>
          <w:i/>
          <w:iCs/>
        </w:rPr>
        <w:t>Security:</w:t>
      </w:r>
      <w:r w:rsidRPr="003A6C38">
        <w:rPr>
          <w:rFonts w:ascii="Arial" w:hAnsi="Arial" w:cs="Arial"/>
          <w:b/>
          <w:bCs/>
        </w:rPr>
        <w:t xml:space="preserve"> </w:t>
      </w:r>
    </w:p>
    <w:p w14:paraId="47B1BCBA" w14:textId="14EABB24" w:rsidR="00881FD7" w:rsidRPr="003A6C38" w:rsidRDefault="00881FD7" w:rsidP="00881FD7">
      <w:pPr>
        <w:ind w:left="720"/>
        <w:jc w:val="both"/>
        <w:rPr>
          <w:rFonts w:ascii="Arial" w:hAnsi="Arial" w:cs="Arial"/>
          <w:bCs/>
        </w:rPr>
      </w:pPr>
      <w:r w:rsidRPr="003A6C38">
        <w:rPr>
          <w:rFonts w:ascii="Arial" w:hAnsi="Arial" w:cs="Arial"/>
          <w:bCs/>
        </w:rPr>
        <w:t>The PCC has adopted a voluntary measure of its exposure to credit risk by monitoring the value-weighted average of its investment portfolio.  This is calculated by applying a score to each investment (AAA=1, AA+=2, etc.) and taking the arithmetic average, weighted by the size of each investment. Unrated investments are assigned a score based on their perceived risk.</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1773"/>
      </w:tblGrid>
      <w:tr w:rsidR="00881FD7" w:rsidRPr="003A6C38" w14:paraId="0AB83318" w14:textId="77777777" w:rsidTr="002610D2">
        <w:trPr>
          <w:trHeight w:val="340"/>
        </w:trPr>
        <w:tc>
          <w:tcPr>
            <w:tcW w:w="4621" w:type="dxa"/>
            <w:vAlign w:val="center"/>
          </w:tcPr>
          <w:p w14:paraId="08A1FBF9" w14:textId="77777777" w:rsidR="00881FD7" w:rsidRPr="003A6C38" w:rsidRDefault="00881FD7" w:rsidP="002610D2">
            <w:pPr>
              <w:spacing w:after="0"/>
              <w:rPr>
                <w:rFonts w:ascii="Arial" w:eastAsia="Times New Roman" w:hAnsi="Arial" w:cs="Arial"/>
                <w:b/>
                <w:bCs/>
              </w:rPr>
            </w:pPr>
            <w:r w:rsidRPr="003A6C38">
              <w:rPr>
                <w:rFonts w:ascii="Arial" w:eastAsia="Times New Roman" w:hAnsi="Arial" w:cs="Arial"/>
                <w:b/>
                <w:bCs/>
              </w:rPr>
              <w:t>Credit risk indicator</w:t>
            </w:r>
          </w:p>
        </w:tc>
        <w:tc>
          <w:tcPr>
            <w:tcW w:w="1773" w:type="dxa"/>
            <w:shd w:val="clear" w:color="auto" w:fill="E7E6E6" w:themeFill="background2"/>
            <w:vAlign w:val="center"/>
          </w:tcPr>
          <w:p w14:paraId="494C2F1C" w14:textId="77777777" w:rsidR="00881FD7" w:rsidRPr="003A6C38" w:rsidRDefault="00881FD7" w:rsidP="002610D2">
            <w:pPr>
              <w:spacing w:after="0"/>
              <w:jc w:val="center"/>
              <w:rPr>
                <w:rFonts w:ascii="Arial" w:eastAsia="Times New Roman" w:hAnsi="Arial" w:cs="Arial"/>
                <w:b/>
                <w:bCs/>
              </w:rPr>
            </w:pPr>
            <w:r w:rsidRPr="003A6C38">
              <w:rPr>
                <w:rFonts w:ascii="Arial" w:eastAsia="Times New Roman" w:hAnsi="Arial" w:cs="Arial"/>
                <w:b/>
                <w:bCs/>
              </w:rPr>
              <w:t>Target</w:t>
            </w:r>
          </w:p>
        </w:tc>
      </w:tr>
      <w:tr w:rsidR="00881FD7" w:rsidRPr="003A6C38" w14:paraId="0B5D2501" w14:textId="77777777" w:rsidTr="002610D2">
        <w:trPr>
          <w:trHeight w:val="340"/>
        </w:trPr>
        <w:tc>
          <w:tcPr>
            <w:tcW w:w="4621" w:type="dxa"/>
            <w:vAlign w:val="center"/>
          </w:tcPr>
          <w:p w14:paraId="578CE51A" w14:textId="4A3200F0" w:rsidR="00881FD7" w:rsidRPr="003A6C38" w:rsidRDefault="00881FD7" w:rsidP="002610D2">
            <w:pPr>
              <w:spacing w:after="0"/>
              <w:rPr>
                <w:rFonts w:ascii="Arial" w:eastAsia="Times New Roman" w:hAnsi="Arial" w:cs="Arial"/>
                <w:bCs/>
              </w:rPr>
            </w:pPr>
            <w:r w:rsidRPr="003A6C38">
              <w:rPr>
                <w:rFonts w:ascii="Arial" w:eastAsia="Times New Roman" w:hAnsi="Arial" w:cs="Arial"/>
                <w:bCs/>
              </w:rPr>
              <w:t xml:space="preserve">Portfolio average credit </w:t>
            </w:r>
          </w:p>
        </w:tc>
        <w:tc>
          <w:tcPr>
            <w:tcW w:w="1773" w:type="dxa"/>
            <w:shd w:val="clear" w:color="auto" w:fill="E7E6E6" w:themeFill="background2"/>
            <w:vAlign w:val="center"/>
          </w:tcPr>
          <w:p w14:paraId="533DF7ED" w14:textId="0C1A2381" w:rsidR="00881FD7" w:rsidRPr="003A6C38" w:rsidRDefault="00FA5114" w:rsidP="002610D2">
            <w:pPr>
              <w:spacing w:after="0"/>
              <w:jc w:val="center"/>
              <w:rPr>
                <w:rFonts w:ascii="Arial" w:eastAsia="Times New Roman" w:hAnsi="Arial" w:cs="Arial"/>
                <w:bCs/>
                <w:iCs/>
                <w:color w:val="AF173B"/>
              </w:rPr>
            </w:pPr>
            <w:r w:rsidRPr="003A6C38">
              <w:rPr>
                <w:rFonts w:ascii="Arial" w:eastAsia="Times New Roman" w:hAnsi="Arial" w:cs="Arial"/>
                <w:bCs/>
                <w:iCs/>
              </w:rPr>
              <w:t>4.05</w:t>
            </w:r>
          </w:p>
        </w:tc>
      </w:tr>
    </w:tbl>
    <w:p w14:paraId="44F0B5EC" w14:textId="77777777" w:rsidR="00881FD7" w:rsidRPr="003A6C38" w:rsidRDefault="00881FD7" w:rsidP="00881FD7">
      <w:pPr>
        <w:pStyle w:val="ListParagraph"/>
        <w:spacing w:after="120" w:line="240" w:lineRule="auto"/>
        <w:rPr>
          <w:rFonts w:ascii="Arial" w:eastAsia="Times New Roman" w:hAnsi="Arial" w:cs="Arial"/>
          <w:lang w:eastAsia="en-GB"/>
        </w:rPr>
      </w:pPr>
    </w:p>
    <w:p w14:paraId="1B5B7EF2" w14:textId="77777777" w:rsidR="00881FD7" w:rsidRPr="003A6C38" w:rsidRDefault="00881FD7" w:rsidP="00881FD7">
      <w:pPr>
        <w:ind w:firstLine="720"/>
        <w:jc w:val="both"/>
        <w:rPr>
          <w:rFonts w:ascii="Arial" w:hAnsi="Arial" w:cs="Arial"/>
          <w:b/>
          <w:bCs/>
        </w:rPr>
      </w:pPr>
      <w:r w:rsidRPr="003A6C38">
        <w:rPr>
          <w:rFonts w:ascii="Arial" w:hAnsi="Arial" w:cs="Arial"/>
          <w:b/>
          <w:bCs/>
        </w:rPr>
        <w:t>Liquidity:</w:t>
      </w:r>
    </w:p>
    <w:p w14:paraId="08EF2637" w14:textId="7E7F6B60" w:rsidR="00881FD7" w:rsidRPr="003A6C38" w:rsidRDefault="00881FD7" w:rsidP="00881FD7">
      <w:pPr>
        <w:ind w:left="720"/>
        <w:jc w:val="both"/>
        <w:rPr>
          <w:rFonts w:ascii="Arial" w:hAnsi="Arial" w:cs="Arial"/>
          <w:bCs/>
        </w:rPr>
      </w:pPr>
      <w:r w:rsidRPr="003A6C38">
        <w:rPr>
          <w:rFonts w:ascii="Arial" w:hAnsi="Arial" w:cs="Arial"/>
          <w:bCs/>
        </w:rPr>
        <w:t>The PCC has adopted a voluntary measure of its exposure to liquidity risk by monitoring the amount of cash available to meet unexpected payments within a rolling 12 month period, without additional borrowing.</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1773"/>
      </w:tblGrid>
      <w:tr w:rsidR="00881FD7" w:rsidRPr="003A6C38" w14:paraId="4B759360" w14:textId="77777777" w:rsidTr="002610D2">
        <w:trPr>
          <w:trHeight w:val="340"/>
        </w:trPr>
        <w:tc>
          <w:tcPr>
            <w:tcW w:w="4621" w:type="dxa"/>
            <w:vAlign w:val="center"/>
          </w:tcPr>
          <w:p w14:paraId="5999B989" w14:textId="77777777" w:rsidR="00881FD7" w:rsidRPr="003A6C38" w:rsidRDefault="00881FD7" w:rsidP="002610D2">
            <w:pPr>
              <w:spacing w:after="0"/>
              <w:rPr>
                <w:rFonts w:ascii="Arial" w:eastAsia="Times New Roman" w:hAnsi="Arial" w:cs="Arial"/>
                <w:bCs/>
              </w:rPr>
            </w:pPr>
            <w:r w:rsidRPr="003A6C38">
              <w:rPr>
                <w:rFonts w:ascii="Arial" w:eastAsia="Times New Roman" w:hAnsi="Arial" w:cs="Arial"/>
                <w:b/>
                <w:bCs/>
              </w:rPr>
              <w:t>Liquidity risk indicator</w:t>
            </w:r>
          </w:p>
        </w:tc>
        <w:tc>
          <w:tcPr>
            <w:tcW w:w="1773" w:type="dxa"/>
            <w:shd w:val="clear" w:color="auto" w:fill="E7E6E6" w:themeFill="background2"/>
            <w:vAlign w:val="center"/>
          </w:tcPr>
          <w:p w14:paraId="796FA764" w14:textId="77777777" w:rsidR="00881FD7" w:rsidRPr="003A6C38" w:rsidRDefault="00881FD7" w:rsidP="002610D2">
            <w:pPr>
              <w:spacing w:after="0"/>
              <w:jc w:val="center"/>
              <w:rPr>
                <w:rFonts w:ascii="Arial" w:eastAsia="Times New Roman" w:hAnsi="Arial" w:cs="Arial"/>
                <w:b/>
                <w:bCs/>
              </w:rPr>
            </w:pPr>
            <w:r w:rsidRPr="003A6C38">
              <w:rPr>
                <w:rFonts w:ascii="Arial" w:eastAsia="Times New Roman" w:hAnsi="Arial" w:cs="Arial"/>
                <w:b/>
                <w:bCs/>
              </w:rPr>
              <w:t>Target</w:t>
            </w:r>
          </w:p>
        </w:tc>
      </w:tr>
      <w:tr w:rsidR="00881FD7" w:rsidRPr="003A6C38" w14:paraId="14D04EA5" w14:textId="77777777" w:rsidTr="002610D2">
        <w:trPr>
          <w:trHeight w:val="340"/>
        </w:trPr>
        <w:tc>
          <w:tcPr>
            <w:tcW w:w="4621" w:type="dxa"/>
            <w:vAlign w:val="center"/>
          </w:tcPr>
          <w:p w14:paraId="78A3A103" w14:textId="4564FAE8" w:rsidR="00881FD7" w:rsidRPr="003A6C38" w:rsidRDefault="00881FD7" w:rsidP="002610D2">
            <w:pPr>
              <w:spacing w:after="0"/>
              <w:rPr>
                <w:rFonts w:ascii="Arial" w:eastAsia="Times New Roman" w:hAnsi="Arial" w:cs="Arial"/>
                <w:bCs/>
              </w:rPr>
            </w:pPr>
            <w:r w:rsidRPr="003A6C38">
              <w:rPr>
                <w:rFonts w:ascii="Arial" w:eastAsia="Times New Roman" w:hAnsi="Arial" w:cs="Arial"/>
                <w:bCs/>
              </w:rPr>
              <w:t>Total cash available within 12 months</w:t>
            </w:r>
          </w:p>
        </w:tc>
        <w:tc>
          <w:tcPr>
            <w:tcW w:w="1773" w:type="dxa"/>
            <w:shd w:val="clear" w:color="auto" w:fill="E7E6E6" w:themeFill="background2"/>
            <w:vAlign w:val="center"/>
          </w:tcPr>
          <w:p w14:paraId="3864F9CF" w14:textId="537BF380" w:rsidR="00881FD7" w:rsidRPr="003A6C38" w:rsidRDefault="00881FD7" w:rsidP="002610D2">
            <w:pPr>
              <w:spacing w:after="0"/>
              <w:jc w:val="center"/>
              <w:rPr>
                <w:rFonts w:ascii="Arial" w:eastAsia="Times New Roman" w:hAnsi="Arial" w:cs="Arial"/>
                <w:bCs/>
                <w:color w:val="AF173B"/>
              </w:rPr>
            </w:pPr>
            <w:r w:rsidRPr="003A6C38">
              <w:rPr>
                <w:rFonts w:ascii="Arial" w:hAnsi="Arial" w:cs="Arial"/>
              </w:rPr>
              <w:t>£10m</w:t>
            </w:r>
          </w:p>
        </w:tc>
      </w:tr>
    </w:tbl>
    <w:p w14:paraId="081623D3" w14:textId="77777777" w:rsidR="00881FD7" w:rsidRPr="003A6C38" w:rsidRDefault="00881FD7" w:rsidP="00881FD7">
      <w:pPr>
        <w:jc w:val="both"/>
        <w:rPr>
          <w:rFonts w:ascii="Arial" w:hAnsi="Arial" w:cs="Arial"/>
          <w:b/>
          <w:bCs/>
        </w:rPr>
      </w:pPr>
    </w:p>
    <w:p w14:paraId="64612435" w14:textId="77777777" w:rsidR="00881FD7" w:rsidRPr="003A6C38" w:rsidRDefault="00881FD7" w:rsidP="00881FD7">
      <w:pPr>
        <w:ind w:firstLine="720"/>
        <w:jc w:val="both"/>
        <w:rPr>
          <w:rFonts w:ascii="Arial" w:hAnsi="Arial" w:cs="Arial"/>
          <w:bCs/>
        </w:rPr>
      </w:pPr>
      <w:r w:rsidRPr="003A6C38">
        <w:rPr>
          <w:rFonts w:ascii="Arial" w:hAnsi="Arial" w:cs="Arial"/>
          <w:b/>
          <w:bCs/>
        </w:rPr>
        <w:t>Interest rate exposures</w:t>
      </w:r>
      <w:r w:rsidRPr="003A6C38">
        <w:rPr>
          <w:rFonts w:ascii="Arial" w:hAnsi="Arial" w:cs="Arial"/>
          <w:bCs/>
        </w:rPr>
        <w:t xml:space="preserve">: </w:t>
      </w:r>
    </w:p>
    <w:p w14:paraId="3FA61DEC" w14:textId="4C75F5BD" w:rsidR="00881FD7" w:rsidRPr="003A6C38" w:rsidRDefault="00881FD7" w:rsidP="00881FD7">
      <w:pPr>
        <w:ind w:left="720"/>
        <w:jc w:val="both"/>
        <w:rPr>
          <w:rFonts w:ascii="Arial" w:hAnsi="Arial" w:cs="Arial"/>
          <w:bCs/>
        </w:rPr>
      </w:pPr>
      <w:r w:rsidRPr="003A6C38">
        <w:rPr>
          <w:rFonts w:ascii="Arial" w:hAnsi="Arial" w:cs="Arial"/>
          <w:bCs/>
        </w:rPr>
        <w:t>This indicator is set to control the Authority’s exposure to interest rate risk.  The upper limits on the one-year revenue impact of a 1% rise or fall in interest rates will be:</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6"/>
        <w:gridCol w:w="1559"/>
      </w:tblGrid>
      <w:tr w:rsidR="00881FD7" w:rsidRPr="003A6C38" w14:paraId="369E3F27" w14:textId="77777777" w:rsidTr="002610D2">
        <w:trPr>
          <w:trHeight w:val="340"/>
        </w:trPr>
        <w:tc>
          <w:tcPr>
            <w:tcW w:w="6536" w:type="dxa"/>
            <w:vAlign w:val="center"/>
          </w:tcPr>
          <w:p w14:paraId="62D6BF4C" w14:textId="77777777" w:rsidR="00881FD7" w:rsidRPr="003A6C38" w:rsidRDefault="00881FD7" w:rsidP="002610D2">
            <w:pPr>
              <w:spacing w:after="0"/>
              <w:rPr>
                <w:rFonts w:ascii="Arial" w:eastAsia="Times New Roman" w:hAnsi="Arial" w:cs="Arial"/>
                <w:bCs/>
              </w:rPr>
            </w:pPr>
            <w:r w:rsidRPr="003A6C38">
              <w:rPr>
                <w:rFonts w:ascii="Arial" w:eastAsia="Times New Roman" w:hAnsi="Arial" w:cs="Arial"/>
                <w:b/>
                <w:bCs/>
              </w:rPr>
              <w:t>Interest rate risk indicator</w:t>
            </w:r>
          </w:p>
        </w:tc>
        <w:tc>
          <w:tcPr>
            <w:tcW w:w="1559" w:type="dxa"/>
            <w:shd w:val="clear" w:color="auto" w:fill="E7E6E6" w:themeFill="background2"/>
            <w:vAlign w:val="center"/>
          </w:tcPr>
          <w:p w14:paraId="6375BB45" w14:textId="77777777" w:rsidR="00881FD7" w:rsidRPr="003A6C38" w:rsidRDefault="00881FD7" w:rsidP="002610D2">
            <w:pPr>
              <w:spacing w:after="0"/>
              <w:jc w:val="center"/>
              <w:rPr>
                <w:rFonts w:ascii="Arial" w:eastAsia="Times New Roman" w:hAnsi="Arial" w:cs="Arial"/>
                <w:b/>
                <w:bCs/>
              </w:rPr>
            </w:pPr>
            <w:r w:rsidRPr="003A6C38">
              <w:rPr>
                <w:rFonts w:ascii="Arial" w:eastAsia="Times New Roman" w:hAnsi="Arial" w:cs="Arial"/>
                <w:b/>
                <w:bCs/>
              </w:rPr>
              <w:t>Limit</w:t>
            </w:r>
          </w:p>
        </w:tc>
      </w:tr>
      <w:tr w:rsidR="00881FD7" w:rsidRPr="003A6C38" w14:paraId="7BB7BFD5" w14:textId="77777777" w:rsidTr="002610D2">
        <w:trPr>
          <w:trHeight w:val="340"/>
        </w:trPr>
        <w:tc>
          <w:tcPr>
            <w:tcW w:w="6536" w:type="dxa"/>
            <w:vAlign w:val="center"/>
          </w:tcPr>
          <w:p w14:paraId="6FE98306" w14:textId="77777777" w:rsidR="00881FD7" w:rsidRPr="003A6C38" w:rsidRDefault="00881FD7" w:rsidP="002610D2">
            <w:pPr>
              <w:spacing w:after="0"/>
              <w:rPr>
                <w:rFonts w:ascii="Arial" w:eastAsia="Times New Roman" w:hAnsi="Arial" w:cs="Arial"/>
                <w:bCs/>
              </w:rPr>
            </w:pPr>
            <w:r w:rsidRPr="003A6C38">
              <w:rPr>
                <w:rFonts w:ascii="Arial" w:eastAsia="Times New Roman" w:hAnsi="Arial" w:cs="Arial"/>
                <w:bCs/>
              </w:rPr>
              <w:t xml:space="preserve">Upper limit on one-year revenue impact of a 1% </w:t>
            </w:r>
            <w:r w:rsidRPr="003A6C38">
              <w:rPr>
                <w:rFonts w:ascii="Arial" w:eastAsia="Times New Roman" w:hAnsi="Arial" w:cs="Arial"/>
                <w:bCs/>
                <w:u w:val="single"/>
              </w:rPr>
              <w:t>rise</w:t>
            </w:r>
            <w:r w:rsidRPr="003A6C38">
              <w:rPr>
                <w:rFonts w:ascii="Arial" w:eastAsia="Times New Roman" w:hAnsi="Arial" w:cs="Arial"/>
                <w:bCs/>
              </w:rPr>
              <w:t xml:space="preserve"> in interest rates</w:t>
            </w:r>
          </w:p>
        </w:tc>
        <w:tc>
          <w:tcPr>
            <w:tcW w:w="1559" w:type="dxa"/>
            <w:shd w:val="clear" w:color="auto" w:fill="E7E6E6" w:themeFill="background2"/>
            <w:vAlign w:val="center"/>
          </w:tcPr>
          <w:p w14:paraId="6C545E6F" w14:textId="14BD4852" w:rsidR="00881FD7" w:rsidRPr="003A6C38" w:rsidRDefault="00881FD7" w:rsidP="002610D2">
            <w:pPr>
              <w:spacing w:after="0"/>
              <w:jc w:val="center"/>
              <w:rPr>
                <w:rFonts w:ascii="Arial" w:hAnsi="Arial" w:cs="Arial"/>
              </w:rPr>
            </w:pPr>
            <w:r w:rsidRPr="003A6C38">
              <w:rPr>
                <w:rFonts w:ascii="Arial" w:hAnsi="Arial" w:cs="Arial"/>
              </w:rPr>
              <w:t>£</w:t>
            </w:r>
            <w:r w:rsidR="003A6C38">
              <w:rPr>
                <w:rFonts w:ascii="Arial" w:hAnsi="Arial" w:cs="Arial"/>
              </w:rPr>
              <w:t>100</w:t>
            </w:r>
            <w:r w:rsidR="00D309D2">
              <w:rPr>
                <w:rFonts w:ascii="Arial" w:hAnsi="Arial" w:cs="Arial"/>
              </w:rPr>
              <w:t>,</w:t>
            </w:r>
            <w:r w:rsidRPr="003A6C38">
              <w:rPr>
                <w:rFonts w:ascii="Arial" w:hAnsi="Arial" w:cs="Arial"/>
              </w:rPr>
              <w:t>000</w:t>
            </w:r>
          </w:p>
        </w:tc>
      </w:tr>
      <w:tr w:rsidR="00881FD7" w:rsidRPr="003A6C38" w14:paraId="6067907A" w14:textId="77777777" w:rsidTr="002610D2">
        <w:trPr>
          <w:trHeight w:val="340"/>
        </w:trPr>
        <w:tc>
          <w:tcPr>
            <w:tcW w:w="6536" w:type="dxa"/>
            <w:vAlign w:val="center"/>
          </w:tcPr>
          <w:p w14:paraId="534743CA" w14:textId="77777777" w:rsidR="00881FD7" w:rsidRPr="003A6C38" w:rsidRDefault="00881FD7" w:rsidP="002610D2">
            <w:pPr>
              <w:spacing w:after="0"/>
              <w:rPr>
                <w:rFonts w:ascii="Arial" w:eastAsia="Times New Roman" w:hAnsi="Arial" w:cs="Arial"/>
                <w:bCs/>
              </w:rPr>
            </w:pPr>
            <w:r w:rsidRPr="003A6C38">
              <w:rPr>
                <w:rFonts w:ascii="Arial" w:eastAsia="Times New Roman" w:hAnsi="Arial" w:cs="Arial"/>
                <w:bCs/>
              </w:rPr>
              <w:t xml:space="preserve">Upper limit on one-year revenue impact of a 1% </w:t>
            </w:r>
            <w:r w:rsidRPr="003A6C38">
              <w:rPr>
                <w:rFonts w:ascii="Arial" w:eastAsia="Times New Roman" w:hAnsi="Arial" w:cs="Arial"/>
                <w:bCs/>
                <w:u w:val="single"/>
              </w:rPr>
              <w:t>fall</w:t>
            </w:r>
            <w:r w:rsidRPr="003A6C38">
              <w:rPr>
                <w:rFonts w:ascii="Arial" w:eastAsia="Times New Roman" w:hAnsi="Arial" w:cs="Arial"/>
                <w:bCs/>
              </w:rPr>
              <w:t xml:space="preserve"> in interest rates</w:t>
            </w:r>
          </w:p>
        </w:tc>
        <w:tc>
          <w:tcPr>
            <w:tcW w:w="1559" w:type="dxa"/>
            <w:shd w:val="clear" w:color="auto" w:fill="E7E6E6" w:themeFill="background2"/>
            <w:vAlign w:val="center"/>
          </w:tcPr>
          <w:p w14:paraId="70008E7F" w14:textId="0763755C" w:rsidR="00881FD7" w:rsidRPr="003A6C38" w:rsidRDefault="00881FD7" w:rsidP="002610D2">
            <w:pPr>
              <w:spacing w:after="0"/>
              <w:jc w:val="center"/>
              <w:rPr>
                <w:rFonts w:ascii="Arial" w:hAnsi="Arial" w:cs="Arial"/>
                <w:color w:val="AF173B"/>
              </w:rPr>
            </w:pPr>
            <w:r w:rsidRPr="003A6C38">
              <w:rPr>
                <w:rFonts w:ascii="Arial" w:hAnsi="Arial" w:cs="Arial"/>
              </w:rPr>
              <w:t>£</w:t>
            </w:r>
            <w:r w:rsidR="003A6C38">
              <w:rPr>
                <w:rFonts w:ascii="Arial" w:hAnsi="Arial" w:cs="Arial"/>
              </w:rPr>
              <w:t>100,</w:t>
            </w:r>
            <w:r w:rsidRPr="003A6C38">
              <w:rPr>
                <w:rFonts w:ascii="Arial" w:hAnsi="Arial" w:cs="Arial"/>
              </w:rPr>
              <w:t>000</w:t>
            </w:r>
          </w:p>
        </w:tc>
      </w:tr>
    </w:tbl>
    <w:p w14:paraId="67CAF0EE" w14:textId="3B215CE9" w:rsidR="003A6C38" w:rsidRDefault="00881FD7" w:rsidP="003A6C38">
      <w:pPr>
        <w:ind w:left="720"/>
        <w:jc w:val="both"/>
        <w:rPr>
          <w:rFonts w:ascii="Arial" w:hAnsi="Arial" w:cs="Arial"/>
          <w:b/>
          <w:bCs/>
        </w:rPr>
      </w:pPr>
      <w:r w:rsidRPr="003A6C38">
        <w:rPr>
          <w:rFonts w:ascii="Arial" w:hAnsi="Arial" w:cs="Arial"/>
          <w:bCs/>
        </w:rPr>
        <w:t>The impact of a change in interest rates is calculated on the assumption that maturing loans and investments will be replaced at new market rates.</w:t>
      </w:r>
    </w:p>
    <w:p w14:paraId="1618031F" w14:textId="77777777" w:rsidR="003A6C38" w:rsidRDefault="003A6C38">
      <w:pPr>
        <w:spacing w:after="0" w:line="240" w:lineRule="auto"/>
        <w:rPr>
          <w:rFonts w:ascii="Arial" w:hAnsi="Arial" w:cs="Arial"/>
          <w:b/>
          <w:bCs/>
        </w:rPr>
      </w:pPr>
      <w:r>
        <w:rPr>
          <w:rFonts w:ascii="Arial" w:hAnsi="Arial" w:cs="Arial"/>
          <w:b/>
          <w:bCs/>
        </w:rPr>
        <w:br w:type="page"/>
      </w:r>
    </w:p>
    <w:p w14:paraId="0C89D2F2" w14:textId="6F89D75D" w:rsidR="00A911F7" w:rsidRPr="003A6C38" w:rsidRDefault="00881FD7" w:rsidP="00A911F7">
      <w:pPr>
        <w:ind w:firstLine="720"/>
        <w:jc w:val="both"/>
        <w:rPr>
          <w:rFonts w:ascii="Arial" w:hAnsi="Arial" w:cs="Arial"/>
          <w:bCs/>
        </w:rPr>
      </w:pPr>
      <w:r w:rsidRPr="003A6C38">
        <w:rPr>
          <w:rFonts w:ascii="Arial" w:hAnsi="Arial" w:cs="Arial"/>
          <w:b/>
          <w:bCs/>
        </w:rPr>
        <w:lastRenderedPageBreak/>
        <w:t>Maturity structure of borrowing:</w:t>
      </w:r>
      <w:r w:rsidRPr="003A6C38">
        <w:rPr>
          <w:rFonts w:ascii="Arial" w:hAnsi="Arial" w:cs="Arial"/>
          <w:bCs/>
        </w:rPr>
        <w:t xml:space="preserve"> </w:t>
      </w:r>
    </w:p>
    <w:p w14:paraId="3C032992" w14:textId="31906BF1" w:rsidR="00881FD7" w:rsidRPr="003A6C38" w:rsidRDefault="00881FD7" w:rsidP="00A911F7">
      <w:pPr>
        <w:ind w:left="720"/>
        <w:jc w:val="both"/>
        <w:rPr>
          <w:rFonts w:ascii="Arial" w:hAnsi="Arial" w:cs="Arial"/>
          <w:bCs/>
        </w:rPr>
      </w:pPr>
      <w:r w:rsidRPr="003A6C38">
        <w:rPr>
          <w:rFonts w:ascii="Arial" w:hAnsi="Arial" w:cs="Arial"/>
          <w:bCs/>
        </w:rPr>
        <w:t>This indicator is set to control the Authority’s exposure to refinancing risk. The upper and lower limits on the maturity structure of borrowing will be:</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1737"/>
        <w:gridCol w:w="1737"/>
      </w:tblGrid>
      <w:tr w:rsidR="00881FD7" w:rsidRPr="003A6C38" w14:paraId="07DEB403" w14:textId="77777777" w:rsidTr="002610D2">
        <w:trPr>
          <w:trHeight w:val="340"/>
        </w:trPr>
        <w:tc>
          <w:tcPr>
            <w:tcW w:w="4621" w:type="dxa"/>
            <w:vAlign w:val="center"/>
          </w:tcPr>
          <w:p w14:paraId="605EA040" w14:textId="77777777" w:rsidR="00881FD7" w:rsidRPr="003A6C38" w:rsidRDefault="00881FD7" w:rsidP="002610D2">
            <w:pPr>
              <w:spacing w:after="0"/>
              <w:rPr>
                <w:rFonts w:ascii="Arial" w:eastAsia="Times New Roman" w:hAnsi="Arial" w:cs="Arial"/>
                <w:bCs/>
              </w:rPr>
            </w:pPr>
            <w:r w:rsidRPr="003A6C38">
              <w:rPr>
                <w:rFonts w:ascii="Arial" w:eastAsia="Times New Roman" w:hAnsi="Arial" w:cs="Arial"/>
                <w:b/>
                <w:bCs/>
              </w:rPr>
              <w:t>Refinancing rate risk indicator</w:t>
            </w:r>
          </w:p>
        </w:tc>
        <w:tc>
          <w:tcPr>
            <w:tcW w:w="1737" w:type="dxa"/>
            <w:shd w:val="clear" w:color="auto" w:fill="E7E6E6" w:themeFill="background2"/>
            <w:vAlign w:val="center"/>
          </w:tcPr>
          <w:p w14:paraId="2936ABC4" w14:textId="77777777" w:rsidR="00881FD7" w:rsidRPr="003A6C38" w:rsidRDefault="00881FD7" w:rsidP="002610D2">
            <w:pPr>
              <w:spacing w:after="0"/>
              <w:jc w:val="center"/>
              <w:rPr>
                <w:rFonts w:ascii="Arial" w:eastAsia="Times New Roman" w:hAnsi="Arial" w:cs="Arial"/>
                <w:b/>
                <w:bCs/>
              </w:rPr>
            </w:pPr>
            <w:r w:rsidRPr="003A6C38">
              <w:rPr>
                <w:rFonts w:ascii="Arial" w:eastAsia="Times New Roman" w:hAnsi="Arial" w:cs="Arial"/>
                <w:b/>
                <w:bCs/>
              </w:rPr>
              <w:t>Upper limit</w:t>
            </w:r>
          </w:p>
        </w:tc>
        <w:tc>
          <w:tcPr>
            <w:tcW w:w="1737" w:type="dxa"/>
            <w:shd w:val="clear" w:color="auto" w:fill="E7E6E6" w:themeFill="background2"/>
            <w:vAlign w:val="center"/>
          </w:tcPr>
          <w:p w14:paraId="316842FD" w14:textId="77777777" w:rsidR="00881FD7" w:rsidRPr="003A6C38" w:rsidRDefault="00881FD7" w:rsidP="002610D2">
            <w:pPr>
              <w:spacing w:after="0"/>
              <w:jc w:val="center"/>
              <w:rPr>
                <w:rFonts w:ascii="Arial" w:eastAsia="Times New Roman" w:hAnsi="Arial" w:cs="Arial"/>
                <w:b/>
                <w:bCs/>
              </w:rPr>
            </w:pPr>
            <w:r w:rsidRPr="003A6C38">
              <w:rPr>
                <w:rFonts w:ascii="Arial" w:eastAsia="Times New Roman" w:hAnsi="Arial" w:cs="Arial"/>
                <w:b/>
                <w:bCs/>
              </w:rPr>
              <w:t>Lower limit</w:t>
            </w:r>
          </w:p>
        </w:tc>
      </w:tr>
      <w:tr w:rsidR="00881FD7" w:rsidRPr="003A6C38" w14:paraId="65D81A7A" w14:textId="77777777" w:rsidTr="002610D2">
        <w:trPr>
          <w:trHeight w:val="340"/>
        </w:trPr>
        <w:tc>
          <w:tcPr>
            <w:tcW w:w="4621" w:type="dxa"/>
            <w:vAlign w:val="center"/>
          </w:tcPr>
          <w:p w14:paraId="05AC913D" w14:textId="77777777" w:rsidR="00881FD7" w:rsidRPr="003A6C38" w:rsidRDefault="00881FD7" w:rsidP="002610D2">
            <w:pPr>
              <w:spacing w:after="0"/>
              <w:rPr>
                <w:rFonts w:ascii="Arial" w:eastAsia="Times New Roman" w:hAnsi="Arial" w:cs="Arial"/>
                <w:bCs/>
              </w:rPr>
            </w:pPr>
            <w:r w:rsidRPr="003A6C38">
              <w:rPr>
                <w:rFonts w:ascii="Arial" w:eastAsia="Times New Roman" w:hAnsi="Arial" w:cs="Arial"/>
                <w:bCs/>
              </w:rPr>
              <w:t>Under 12 months</w:t>
            </w:r>
          </w:p>
        </w:tc>
        <w:tc>
          <w:tcPr>
            <w:tcW w:w="1737" w:type="dxa"/>
            <w:shd w:val="clear" w:color="auto" w:fill="E7E6E6" w:themeFill="background2"/>
            <w:vAlign w:val="center"/>
          </w:tcPr>
          <w:p w14:paraId="484C82D6" w14:textId="4499315E" w:rsidR="00881FD7" w:rsidRPr="003A6C38" w:rsidRDefault="00A911F7" w:rsidP="002610D2">
            <w:pPr>
              <w:spacing w:after="0"/>
              <w:jc w:val="center"/>
              <w:rPr>
                <w:rFonts w:ascii="Arial" w:hAnsi="Arial" w:cs="Arial"/>
              </w:rPr>
            </w:pPr>
            <w:r w:rsidRPr="003A6C38">
              <w:rPr>
                <w:rFonts w:ascii="Arial" w:hAnsi="Arial" w:cs="Arial"/>
              </w:rPr>
              <w:t>80</w:t>
            </w:r>
            <w:r w:rsidR="00881FD7" w:rsidRPr="003A6C38">
              <w:rPr>
                <w:rFonts w:ascii="Arial" w:hAnsi="Arial" w:cs="Arial"/>
              </w:rPr>
              <w:t>%</w:t>
            </w:r>
          </w:p>
        </w:tc>
        <w:tc>
          <w:tcPr>
            <w:tcW w:w="1737" w:type="dxa"/>
            <w:shd w:val="clear" w:color="auto" w:fill="E7E6E6" w:themeFill="background2"/>
            <w:vAlign w:val="center"/>
          </w:tcPr>
          <w:p w14:paraId="3A4435FE" w14:textId="76BF373C" w:rsidR="00881FD7" w:rsidRPr="003A6C38" w:rsidRDefault="00A911F7" w:rsidP="002610D2">
            <w:pPr>
              <w:spacing w:after="0"/>
              <w:jc w:val="center"/>
              <w:rPr>
                <w:rFonts w:ascii="Arial" w:hAnsi="Arial" w:cs="Arial"/>
              </w:rPr>
            </w:pPr>
            <w:r w:rsidRPr="003A6C38">
              <w:rPr>
                <w:rFonts w:ascii="Arial" w:hAnsi="Arial" w:cs="Arial"/>
              </w:rPr>
              <w:t>10</w:t>
            </w:r>
            <w:r w:rsidR="00881FD7" w:rsidRPr="003A6C38">
              <w:rPr>
                <w:rFonts w:ascii="Arial" w:hAnsi="Arial" w:cs="Arial"/>
              </w:rPr>
              <w:t>%</w:t>
            </w:r>
          </w:p>
        </w:tc>
      </w:tr>
      <w:tr w:rsidR="00881FD7" w:rsidRPr="003A6C38" w14:paraId="29CD689C" w14:textId="77777777" w:rsidTr="002610D2">
        <w:trPr>
          <w:trHeight w:val="340"/>
        </w:trPr>
        <w:tc>
          <w:tcPr>
            <w:tcW w:w="4621" w:type="dxa"/>
            <w:vAlign w:val="center"/>
          </w:tcPr>
          <w:p w14:paraId="2E7CA5EB" w14:textId="77777777" w:rsidR="00881FD7" w:rsidRPr="003A6C38" w:rsidRDefault="00881FD7" w:rsidP="002610D2">
            <w:pPr>
              <w:spacing w:after="0"/>
              <w:rPr>
                <w:rFonts w:ascii="Arial" w:eastAsia="Times New Roman" w:hAnsi="Arial" w:cs="Arial"/>
                <w:bCs/>
              </w:rPr>
            </w:pPr>
            <w:r w:rsidRPr="003A6C38">
              <w:rPr>
                <w:rFonts w:ascii="Arial" w:eastAsia="Times New Roman" w:hAnsi="Arial" w:cs="Arial"/>
                <w:bCs/>
              </w:rPr>
              <w:t>12 months and within 24 months</w:t>
            </w:r>
          </w:p>
        </w:tc>
        <w:tc>
          <w:tcPr>
            <w:tcW w:w="1737" w:type="dxa"/>
            <w:shd w:val="clear" w:color="auto" w:fill="E7E6E6" w:themeFill="background2"/>
            <w:vAlign w:val="center"/>
          </w:tcPr>
          <w:p w14:paraId="7EF5FBEA" w14:textId="1A710D4A" w:rsidR="00881FD7" w:rsidRPr="003A6C38" w:rsidRDefault="00A911F7" w:rsidP="002610D2">
            <w:pPr>
              <w:spacing w:after="0"/>
              <w:jc w:val="center"/>
              <w:rPr>
                <w:rFonts w:ascii="Arial" w:hAnsi="Arial" w:cs="Arial"/>
              </w:rPr>
            </w:pPr>
            <w:r w:rsidRPr="003A6C38">
              <w:rPr>
                <w:rFonts w:ascii="Arial" w:hAnsi="Arial" w:cs="Arial"/>
              </w:rPr>
              <w:t>60</w:t>
            </w:r>
            <w:r w:rsidR="00881FD7" w:rsidRPr="003A6C38">
              <w:rPr>
                <w:rFonts w:ascii="Arial" w:hAnsi="Arial" w:cs="Arial"/>
              </w:rPr>
              <w:t>%</w:t>
            </w:r>
          </w:p>
        </w:tc>
        <w:tc>
          <w:tcPr>
            <w:tcW w:w="1737" w:type="dxa"/>
            <w:shd w:val="clear" w:color="auto" w:fill="E7E6E6" w:themeFill="background2"/>
            <w:vAlign w:val="center"/>
          </w:tcPr>
          <w:p w14:paraId="3DCE2E27" w14:textId="689580E4" w:rsidR="00881FD7" w:rsidRPr="003A6C38" w:rsidRDefault="00A911F7" w:rsidP="002610D2">
            <w:pPr>
              <w:spacing w:after="0"/>
              <w:jc w:val="center"/>
              <w:rPr>
                <w:rFonts w:ascii="Arial" w:hAnsi="Arial" w:cs="Arial"/>
              </w:rPr>
            </w:pPr>
            <w:r w:rsidRPr="003A6C38">
              <w:rPr>
                <w:rFonts w:ascii="Arial" w:hAnsi="Arial" w:cs="Arial"/>
              </w:rPr>
              <w:t>1</w:t>
            </w:r>
            <w:r w:rsidR="00881FD7" w:rsidRPr="003A6C38">
              <w:rPr>
                <w:rFonts w:ascii="Arial" w:hAnsi="Arial" w:cs="Arial"/>
              </w:rPr>
              <w:t>%</w:t>
            </w:r>
          </w:p>
        </w:tc>
      </w:tr>
      <w:tr w:rsidR="00881FD7" w:rsidRPr="003A6C38" w14:paraId="4C25C148" w14:textId="77777777" w:rsidTr="002610D2">
        <w:trPr>
          <w:trHeight w:val="340"/>
        </w:trPr>
        <w:tc>
          <w:tcPr>
            <w:tcW w:w="4621" w:type="dxa"/>
            <w:vAlign w:val="center"/>
          </w:tcPr>
          <w:p w14:paraId="4832E55D" w14:textId="77777777" w:rsidR="00881FD7" w:rsidRPr="003A6C38" w:rsidRDefault="00881FD7" w:rsidP="002610D2">
            <w:pPr>
              <w:spacing w:after="0"/>
              <w:rPr>
                <w:rFonts w:ascii="Arial" w:eastAsia="Times New Roman" w:hAnsi="Arial" w:cs="Arial"/>
                <w:bCs/>
              </w:rPr>
            </w:pPr>
            <w:r w:rsidRPr="003A6C38">
              <w:rPr>
                <w:rFonts w:ascii="Arial" w:eastAsia="Times New Roman" w:hAnsi="Arial" w:cs="Arial"/>
                <w:bCs/>
              </w:rPr>
              <w:t>24 months and within 5 years</w:t>
            </w:r>
          </w:p>
        </w:tc>
        <w:tc>
          <w:tcPr>
            <w:tcW w:w="1737" w:type="dxa"/>
            <w:shd w:val="clear" w:color="auto" w:fill="E7E6E6" w:themeFill="background2"/>
            <w:vAlign w:val="center"/>
          </w:tcPr>
          <w:p w14:paraId="6395FF91" w14:textId="50294114" w:rsidR="00881FD7" w:rsidRPr="003A6C38" w:rsidRDefault="00A911F7" w:rsidP="002610D2">
            <w:pPr>
              <w:spacing w:after="0"/>
              <w:jc w:val="center"/>
              <w:rPr>
                <w:rFonts w:ascii="Arial" w:hAnsi="Arial" w:cs="Arial"/>
              </w:rPr>
            </w:pPr>
            <w:r w:rsidRPr="003A6C38">
              <w:rPr>
                <w:rFonts w:ascii="Arial" w:hAnsi="Arial" w:cs="Arial"/>
              </w:rPr>
              <w:t>60</w:t>
            </w:r>
            <w:r w:rsidR="00881FD7" w:rsidRPr="003A6C38">
              <w:rPr>
                <w:rFonts w:ascii="Arial" w:hAnsi="Arial" w:cs="Arial"/>
              </w:rPr>
              <w:t>%</w:t>
            </w:r>
          </w:p>
        </w:tc>
        <w:tc>
          <w:tcPr>
            <w:tcW w:w="1737" w:type="dxa"/>
            <w:shd w:val="clear" w:color="auto" w:fill="E7E6E6" w:themeFill="background2"/>
            <w:vAlign w:val="center"/>
          </w:tcPr>
          <w:p w14:paraId="0C7A5544" w14:textId="2A7EBD13" w:rsidR="00881FD7" w:rsidRPr="003A6C38" w:rsidRDefault="00A911F7" w:rsidP="002610D2">
            <w:pPr>
              <w:spacing w:after="0"/>
              <w:jc w:val="center"/>
              <w:rPr>
                <w:rFonts w:ascii="Arial" w:hAnsi="Arial" w:cs="Arial"/>
              </w:rPr>
            </w:pPr>
            <w:r w:rsidRPr="003A6C38">
              <w:rPr>
                <w:rFonts w:ascii="Arial" w:hAnsi="Arial" w:cs="Arial"/>
              </w:rPr>
              <w:t>1</w:t>
            </w:r>
            <w:r w:rsidR="00881FD7" w:rsidRPr="003A6C38">
              <w:rPr>
                <w:rFonts w:ascii="Arial" w:hAnsi="Arial" w:cs="Arial"/>
              </w:rPr>
              <w:t>%</w:t>
            </w:r>
          </w:p>
        </w:tc>
      </w:tr>
      <w:tr w:rsidR="00881FD7" w:rsidRPr="003A6C38" w14:paraId="31940C11" w14:textId="77777777" w:rsidTr="002610D2">
        <w:trPr>
          <w:trHeight w:val="340"/>
        </w:trPr>
        <w:tc>
          <w:tcPr>
            <w:tcW w:w="4621" w:type="dxa"/>
            <w:vAlign w:val="center"/>
          </w:tcPr>
          <w:p w14:paraId="5F74CE1B" w14:textId="77777777" w:rsidR="00881FD7" w:rsidRPr="003A6C38" w:rsidRDefault="00881FD7" w:rsidP="002610D2">
            <w:pPr>
              <w:spacing w:after="0"/>
              <w:rPr>
                <w:rFonts w:ascii="Arial" w:eastAsia="Times New Roman" w:hAnsi="Arial" w:cs="Arial"/>
                <w:bCs/>
              </w:rPr>
            </w:pPr>
            <w:r w:rsidRPr="003A6C38">
              <w:rPr>
                <w:rFonts w:ascii="Arial" w:eastAsia="Times New Roman" w:hAnsi="Arial" w:cs="Arial"/>
                <w:bCs/>
              </w:rPr>
              <w:t>5 years and within 10 years</w:t>
            </w:r>
          </w:p>
        </w:tc>
        <w:tc>
          <w:tcPr>
            <w:tcW w:w="1737" w:type="dxa"/>
            <w:shd w:val="clear" w:color="auto" w:fill="E7E6E6" w:themeFill="background2"/>
            <w:vAlign w:val="center"/>
          </w:tcPr>
          <w:p w14:paraId="1F13D1AE" w14:textId="2A2DF7EB" w:rsidR="00881FD7" w:rsidRPr="003A6C38" w:rsidRDefault="00210092" w:rsidP="002610D2">
            <w:pPr>
              <w:spacing w:after="0"/>
              <w:jc w:val="center"/>
              <w:rPr>
                <w:rFonts w:ascii="Arial" w:hAnsi="Arial" w:cs="Arial"/>
              </w:rPr>
            </w:pPr>
            <w:r w:rsidRPr="003A6C38">
              <w:rPr>
                <w:rFonts w:ascii="Arial" w:hAnsi="Arial" w:cs="Arial"/>
              </w:rPr>
              <w:t>60</w:t>
            </w:r>
            <w:r w:rsidR="00881FD7" w:rsidRPr="003A6C38">
              <w:rPr>
                <w:rFonts w:ascii="Arial" w:hAnsi="Arial" w:cs="Arial"/>
              </w:rPr>
              <w:t>%</w:t>
            </w:r>
          </w:p>
        </w:tc>
        <w:tc>
          <w:tcPr>
            <w:tcW w:w="1737" w:type="dxa"/>
            <w:shd w:val="clear" w:color="auto" w:fill="E7E6E6" w:themeFill="background2"/>
            <w:vAlign w:val="center"/>
          </w:tcPr>
          <w:p w14:paraId="565FBAF4" w14:textId="5B285239" w:rsidR="00881FD7" w:rsidRPr="003A6C38" w:rsidRDefault="00210092" w:rsidP="002610D2">
            <w:pPr>
              <w:spacing w:after="0"/>
              <w:jc w:val="center"/>
              <w:rPr>
                <w:rFonts w:ascii="Arial" w:hAnsi="Arial" w:cs="Arial"/>
              </w:rPr>
            </w:pPr>
            <w:r w:rsidRPr="003A6C38">
              <w:rPr>
                <w:rFonts w:ascii="Arial" w:hAnsi="Arial" w:cs="Arial"/>
              </w:rPr>
              <w:t>1</w:t>
            </w:r>
            <w:r w:rsidR="00881FD7" w:rsidRPr="003A6C38">
              <w:rPr>
                <w:rFonts w:ascii="Arial" w:hAnsi="Arial" w:cs="Arial"/>
              </w:rPr>
              <w:t>%</w:t>
            </w:r>
          </w:p>
        </w:tc>
      </w:tr>
      <w:tr w:rsidR="00881FD7" w:rsidRPr="003A6C38" w14:paraId="1A77637E" w14:textId="77777777" w:rsidTr="002610D2">
        <w:trPr>
          <w:trHeight w:val="340"/>
        </w:trPr>
        <w:tc>
          <w:tcPr>
            <w:tcW w:w="4621" w:type="dxa"/>
            <w:vAlign w:val="center"/>
          </w:tcPr>
          <w:p w14:paraId="6467A1B4" w14:textId="7FB7DF5C" w:rsidR="00881FD7" w:rsidRPr="003A6C38" w:rsidRDefault="00881FD7" w:rsidP="002610D2">
            <w:pPr>
              <w:spacing w:after="0"/>
              <w:rPr>
                <w:rFonts w:ascii="Arial" w:eastAsia="Times New Roman" w:hAnsi="Arial" w:cs="Arial"/>
                <w:bCs/>
              </w:rPr>
            </w:pPr>
            <w:r w:rsidRPr="003A6C38">
              <w:rPr>
                <w:rFonts w:ascii="Arial" w:eastAsia="Times New Roman" w:hAnsi="Arial" w:cs="Arial"/>
                <w:bCs/>
              </w:rPr>
              <w:t>10 years and above</w:t>
            </w:r>
          </w:p>
        </w:tc>
        <w:tc>
          <w:tcPr>
            <w:tcW w:w="1737" w:type="dxa"/>
            <w:shd w:val="clear" w:color="auto" w:fill="E7E6E6" w:themeFill="background2"/>
            <w:vAlign w:val="center"/>
          </w:tcPr>
          <w:p w14:paraId="76B36C2D" w14:textId="19FDEF39" w:rsidR="00881FD7" w:rsidRPr="003A6C38" w:rsidRDefault="00210092" w:rsidP="002610D2">
            <w:pPr>
              <w:spacing w:after="0"/>
              <w:jc w:val="center"/>
              <w:rPr>
                <w:rFonts w:ascii="Arial" w:hAnsi="Arial" w:cs="Arial"/>
              </w:rPr>
            </w:pPr>
            <w:r w:rsidRPr="003A6C38">
              <w:rPr>
                <w:rFonts w:ascii="Arial" w:hAnsi="Arial" w:cs="Arial"/>
              </w:rPr>
              <w:t>60</w:t>
            </w:r>
            <w:r w:rsidR="00881FD7" w:rsidRPr="003A6C38">
              <w:rPr>
                <w:rFonts w:ascii="Arial" w:hAnsi="Arial" w:cs="Arial"/>
              </w:rPr>
              <w:t>%</w:t>
            </w:r>
          </w:p>
        </w:tc>
        <w:tc>
          <w:tcPr>
            <w:tcW w:w="1737" w:type="dxa"/>
            <w:shd w:val="clear" w:color="auto" w:fill="E7E6E6" w:themeFill="background2"/>
            <w:vAlign w:val="center"/>
          </w:tcPr>
          <w:p w14:paraId="5C49E8DE" w14:textId="34E74A1F" w:rsidR="00881FD7" w:rsidRPr="003A6C38" w:rsidRDefault="00210092" w:rsidP="002610D2">
            <w:pPr>
              <w:spacing w:after="0"/>
              <w:jc w:val="center"/>
              <w:rPr>
                <w:rFonts w:ascii="Arial" w:hAnsi="Arial" w:cs="Arial"/>
              </w:rPr>
            </w:pPr>
            <w:r w:rsidRPr="003A6C38">
              <w:rPr>
                <w:rFonts w:ascii="Arial" w:hAnsi="Arial" w:cs="Arial"/>
              </w:rPr>
              <w:t>1</w:t>
            </w:r>
            <w:r w:rsidR="00881FD7" w:rsidRPr="003A6C38">
              <w:rPr>
                <w:rFonts w:ascii="Arial" w:hAnsi="Arial" w:cs="Arial"/>
              </w:rPr>
              <w:t>%</w:t>
            </w:r>
          </w:p>
        </w:tc>
      </w:tr>
    </w:tbl>
    <w:p w14:paraId="69573D00" w14:textId="77777777" w:rsidR="00881FD7" w:rsidRPr="003A6C38" w:rsidRDefault="00881FD7" w:rsidP="00881FD7">
      <w:pPr>
        <w:pStyle w:val="ListParagraph"/>
        <w:spacing w:after="120" w:line="240" w:lineRule="auto"/>
        <w:rPr>
          <w:rFonts w:ascii="Arial" w:eastAsia="Times New Roman" w:hAnsi="Arial" w:cs="Arial"/>
          <w:lang w:eastAsia="en-GB"/>
        </w:rPr>
      </w:pPr>
    </w:p>
    <w:p w14:paraId="5C2F17D7" w14:textId="77777777" w:rsidR="00FA5114" w:rsidRPr="003A6C38" w:rsidRDefault="00FA5114" w:rsidP="00FA5114">
      <w:pPr>
        <w:ind w:firstLine="720"/>
        <w:jc w:val="both"/>
        <w:rPr>
          <w:rFonts w:ascii="Arial" w:hAnsi="Arial" w:cs="Arial"/>
          <w:bCs/>
        </w:rPr>
      </w:pPr>
      <w:r w:rsidRPr="003A6C38">
        <w:rPr>
          <w:rFonts w:ascii="Arial" w:hAnsi="Arial" w:cs="Arial"/>
          <w:b/>
          <w:bCs/>
        </w:rPr>
        <w:t>Long-term treasury management investments:</w:t>
      </w:r>
      <w:r w:rsidRPr="003A6C38">
        <w:rPr>
          <w:rFonts w:ascii="Arial" w:hAnsi="Arial" w:cs="Arial"/>
          <w:bCs/>
        </w:rPr>
        <w:t xml:space="preserve"> </w:t>
      </w:r>
    </w:p>
    <w:p w14:paraId="739EF3A4" w14:textId="38FCFAD2" w:rsidR="00FA5114" w:rsidRPr="003A6C38" w:rsidRDefault="00FA5114" w:rsidP="00FA5114">
      <w:pPr>
        <w:ind w:left="720"/>
        <w:jc w:val="both"/>
        <w:rPr>
          <w:rFonts w:ascii="Arial" w:hAnsi="Arial" w:cs="Arial"/>
          <w:bCs/>
        </w:rPr>
      </w:pPr>
      <w:r w:rsidRPr="003A6C38">
        <w:rPr>
          <w:rFonts w:ascii="Arial" w:hAnsi="Arial" w:cs="Arial"/>
          <w:bCs/>
        </w:rPr>
        <w:t>The purpose of this indicator is to control the Authority’s exposure to the risk of incurring losses by seeking early repayment of its investments.  The prudential limits on the long-term treasury management investments will be:</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1156"/>
        <w:gridCol w:w="1156"/>
        <w:gridCol w:w="1156"/>
        <w:gridCol w:w="1260"/>
      </w:tblGrid>
      <w:tr w:rsidR="00FA5114" w:rsidRPr="003A6C38" w14:paraId="6ED92BBF" w14:textId="77777777" w:rsidTr="00FA5114">
        <w:trPr>
          <w:trHeight w:val="340"/>
        </w:trPr>
        <w:tc>
          <w:tcPr>
            <w:tcW w:w="3912" w:type="dxa"/>
            <w:vAlign w:val="center"/>
          </w:tcPr>
          <w:p w14:paraId="33F5D11E" w14:textId="77777777" w:rsidR="00FA5114" w:rsidRPr="003A6C38" w:rsidRDefault="00FA5114" w:rsidP="00B63D73">
            <w:pPr>
              <w:spacing w:after="0"/>
              <w:rPr>
                <w:rFonts w:ascii="Arial" w:eastAsia="Times New Roman" w:hAnsi="Arial" w:cs="Arial"/>
                <w:b/>
                <w:bCs/>
              </w:rPr>
            </w:pPr>
            <w:r w:rsidRPr="003A6C38">
              <w:rPr>
                <w:rFonts w:ascii="Arial" w:eastAsia="Times New Roman" w:hAnsi="Arial" w:cs="Arial"/>
                <w:b/>
                <w:bCs/>
              </w:rPr>
              <w:t>Price risk indicator</w:t>
            </w:r>
          </w:p>
        </w:tc>
        <w:tc>
          <w:tcPr>
            <w:tcW w:w="1157" w:type="dxa"/>
            <w:vAlign w:val="center"/>
          </w:tcPr>
          <w:p w14:paraId="78642D28" w14:textId="77777777" w:rsidR="00FA5114" w:rsidRPr="003A6C38" w:rsidRDefault="00FA5114" w:rsidP="00B63D73">
            <w:pPr>
              <w:spacing w:after="0"/>
              <w:jc w:val="center"/>
              <w:rPr>
                <w:rFonts w:ascii="Arial" w:eastAsia="Times New Roman" w:hAnsi="Arial" w:cs="Arial"/>
                <w:b/>
                <w:bCs/>
              </w:rPr>
            </w:pPr>
            <w:r w:rsidRPr="003A6C38">
              <w:rPr>
                <w:rFonts w:ascii="Arial" w:eastAsia="Times New Roman" w:hAnsi="Arial" w:cs="Arial"/>
                <w:b/>
                <w:bCs/>
              </w:rPr>
              <w:t>2026/27</w:t>
            </w:r>
          </w:p>
        </w:tc>
        <w:tc>
          <w:tcPr>
            <w:tcW w:w="1157" w:type="dxa"/>
            <w:vAlign w:val="center"/>
          </w:tcPr>
          <w:p w14:paraId="36255FC0" w14:textId="77777777" w:rsidR="00FA5114" w:rsidRPr="003A6C38" w:rsidRDefault="00FA5114" w:rsidP="00B63D73">
            <w:pPr>
              <w:spacing w:after="0"/>
              <w:jc w:val="center"/>
              <w:rPr>
                <w:rFonts w:ascii="Arial" w:eastAsia="Times New Roman" w:hAnsi="Arial" w:cs="Arial"/>
                <w:b/>
                <w:bCs/>
              </w:rPr>
            </w:pPr>
            <w:r w:rsidRPr="003A6C38">
              <w:rPr>
                <w:rFonts w:ascii="Arial" w:eastAsia="Times New Roman" w:hAnsi="Arial" w:cs="Arial"/>
                <w:b/>
                <w:bCs/>
              </w:rPr>
              <w:t>2027/28</w:t>
            </w:r>
          </w:p>
        </w:tc>
        <w:tc>
          <w:tcPr>
            <w:tcW w:w="1157" w:type="dxa"/>
            <w:vAlign w:val="center"/>
          </w:tcPr>
          <w:p w14:paraId="52D72B48" w14:textId="77777777" w:rsidR="00FA5114" w:rsidRPr="003A6C38" w:rsidRDefault="00FA5114" w:rsidP="00B63D73">
            <w:pPr>
              <w:spacing w:after="0"/>
              <w:jc w:val="center"/>
              <w:rPr>
                <w:rFonts w:ascii="Arial" w:eastAsia="Times New Roman" w:hAnsi="Arial" w:cs="Arial"/>
                <w:b/>
                <w:bCs/>
              </w:rPr>
            </w:pPr>
            <w:r w:rsidRPr="003A6C38">
              <w:rPr>
                <w:rFonts w:ascii="Arial" w:eastAsia="Times New Roman" w:hAnsi="Arial" w:cs="Arial"/>
                <w:b/>
                <w:bCs/>
              </w:rPr>
              <w:t>2028/29</w:t>
            </w:r>
          </w:p>
        </w:tc>
        <w:tc>
          <w:tcPr>
            <w:tcW w:w="1264" w:type="dxa"/>
          </w:tcPr>
          <w:p w14:paraId="23A43D87" w14:textId="77777777" w:rsidR="00FA5114" w:rsidRPr="003A6C38" w:rsidRDefault="00FA5114" w:rsidP="00B63D73">
            <w:pPr>
              <w:spacing w:after="0"/>
              <w:jc w:val="center"/>
              <w:rPr>
                <w:rFonts w:ascii="Arial" w:eastAsia="Times New Roman" w:hAnsi="Arial" w:cs="Arial"/>
                <w:b/>
                <w:bCs/>
              </w:rPr>
            </w:pPr>
            <w:r w:rsidRPr="003A6C38">
              <w:rPr>
                <w:rFonts w:ascii="Arial" w:eastAsia="Times New Roman" w:hAnsi="Arial" w:cs="Arial"/>
                <w:b/>
                <w:bCs/>
              </w:rPr>
              <w:t>No fixed date</w:t>
            </w:r>
          </w:p>
        </w:tc>
      </w:tr>
      <w:tr w:rsidR="00FA5114" w:rsidRPr="003A6C38" w14:paraId="661E0DEF" w14:textId="77777777" w:rsidTr="00FA5114">
        <w:trPr>
          <w:trHeight w:val="340"/>
        </w:trPr>
        <w:tc>
          <w:tcPr>
            <w:tcW w:w="3912" w:type="dxa"/>
            <w:vAlign w:val="center"/>
          </w:tcPr>
          <w:p w14:paraId="1C703813" w14:textId="77777777" w:rsidR="00FA5114" w:rsidRPr="003A6C38" w:rsidRDefault="00FA5114" w:rsidP="00B63D73">
            <w:pPr>
              <w:spacing w:after="0"/>
              <w:rPr>
                <w:rFonts w:ascii="Arial" w:eastAsia="Times New Roman" w:hAnsi="Arial" w:cs="Arial"/>
                <w:bCs/>
              </w:rPr>
            </w:pPr>
            <w:r w:rsidRPr="003A6C38">
              <w:rPr>
                <w:rFonts w:ascii="Arial" w:eastAsia="Times New Roman" w:hAnsi="Arial" w:cs="Arial"/>
                <w:bCs/>
              </w:rPr>
              <w:t>Limit on principal invested beyond year end</w:t>
            </w:r>
          </w:p>
        </w:tc>
        <w:tc>
          <w:tcPr>
            <w:tcW w:w="1157" w:type="dxa"/>
            <w:vAlign w:val="center"/>
          </w:tcPr>
          <w:p w14:paraId="1823E3C8" w14:textId="292295BC" w:rsidR="00FA5114" w:rsidRPr="003A6C38" w:rsidRDefault="0085554A" w:rsidP="00B63D73">
            <w:pPr>
              <w:spacing w:after="0"/>
              <w:jc w:val="center"/>
              <w:rPr>
                <w:rFonts w:ascii="Arial" w:eastAsia="Times New Roman" w:hAnsi="Arial" w:cs="Arial"/>
                <w:bCs/>
                <w:color w:val="AF173B"/>
              </w:rPr>
            </w:pPr>
            <w:r w:rsidRPr="003A6C38">
              <w:rPr>
                <w:rFonts w:ascii="Arial" w:hAnsi="Arial" w:cs="Arial"/>
              </w:rPr>
              <w:t>£5</w:t>
            </w:r>
            <w:r w:rsidR="00FA5114" w:rsidRPr="003A6C38">
              <w:rPr>
                <w:rFonts w:ascii="Arial" w:hAnsi="Arial" w:cs="Arial"/>
              </w:rPr>
              <w:t>m</w:t>
            </w:r>
          </w:p>
        </w:tc>
        <w:tc>
          <w:tcPr>
            <w:tcW w:w="1157" w:type="dxa"/>
            <w:vAlign w:val="center"/>
          </w:tcPr>
          <w:p w14:paraId="33E62FF2" w14:textId="6F2B4982" w:rsidR="00FA5114" w:rsidRPr="003A6C38" w:rsidRDefault="00FA5114" w:rsidP="00B63D73">
            <w:pPr>
              <w:spacing w:after="0"/>
              <w:jc w:val="center"/>
              <w:rPr>
                <w:rFonts w:ascii="Arial" w:eastAsia="Times New Roman" w:hAnsi="Arial" w:cs="Arial"/>
                <w:bCs/>
              </w:rPr>
            </w:pPr>
            <w:r w:rsidRPr="003A6C38">
              <w:rPr>
                <w:rFonts w:ascii="Arial" w:hAnsi="Arial" w:cs="Arial"/>
              </w:rPr>
              <w:t>£</w:t>
            </w:r>
            <w:r w:rsidR="0085554A" w:rsidRPr="003A6C38">
              <w:rPr>
                <w:rFonts w:ascii="Arial" w:hAnsi="Arial" w:cs="Arial"/>
              </w:rPr>
              <w:t>3</w:t>
            </w:r>
            <w:r w:rsidRPr="003A6C38">
              <w:rPr>
                <w:rFonts w:ascii="Arial" w:hAnsi="Arial" w:cs="Arial"/>
              </w:rPr>
              <w:t>m</w:t>
            </w:r>
          </w:p>
        </w:tc>
        <w:tc>
          <w:tcPr>
            <w:tcW w:w="1157" w:type="dxa"/>
            <w:vAlign w:val="center"/>
          </w:tcPr>
          <w:p w14:paraId="20CA2AE9" w14:textId="6AAFF38A" w:rsidR="00FA5114" w:rsidRPr="003A6C38" w:rsidRDefault="00FA5114" w:rsidP="00B63D73">
            <w:pPr>
              <w:spacing w:after="0"/>
              <w:jc w:val="center"/>
              <w:rPr>
                <w:rFonts w:ascii="Arial" w:eastAsia="Times New Roman" w:hAnsi="Arial" w:cs="Arial"/>
                <w:bCs/>
              </w:rPr>
            </w:pPr>
            <w:r w:rsidRPr="003A6C38">
              <w:rPr>
                <w:rFonts w:ascii="Arial" w:hAnsi="Arial" w:cs="Arial"/>
              </w:rPr>
              <w:t>£</w:t>
            </w:r>
            <w:r w:rsidR="0085554A" w:rsidRPr="003A6C38">
              <w:rPr>
                <w:rFonts w:ascii="Arial" w:hAnsi="Arial" w:cs="Arial"/>
              </w:rPr>
              <w:t>1</w:t>
            </w:r>
            <w:r w:rsidRPr="003A6C38">
              <w:rPr>
                <w:rFonts w:ascii="Arial" w:hAnsi="Arial" w:cs="Arial"/>
              </w:rPr>
              <w:t>m</w:t>
            </w:r>
          </w:p>
        </w:tc>
        <w:tc>
          <w:tcPr>
            <w:tcW w:w="1264" w:type="dxa"/>
          </w:tcPr>
          <w:p w14:paraId="06DCF7E0" w14:textId="6B1BD3EA" w:rsidR="00FA5114" w:rsidRPr="003A6C38" w:rsidRDefault="00FA5114" w:rsidP="00B63D73">
            <w:pPr>
              <w:spacing w:after="0"/>
              <w:jc w:val="center"/>
              <w:rPr>
                <w:rFonts w:ascii="Arial" w:hAnsi="Arial" w:cs="Arial"/>
              </w:rPr>
            </w:pPr>
            <w:r w:rsidRPr="003A6C38">
              <w:rPr>
                <w:rFonts w:ascii="Arial" w:hAnsi="Arial" w:cs="Arial"/>
              </w:rPr>
              <w:t>£</w:t>
            </w:r>
            <w:r w:rsidR="0085554A" w:rsidRPr="003A6C38">
              <w:rPr>
                <w:rFonts w:ascii="Arial" w:hAnsi="Arial" w:cs="Arial"/>
              </w:rPr>
              <w:t>0</w:t>
            </w:r>
            <w:r w:rsidRPr="003A6C38">
              <w:rPr>
                <w:rFonts w:ascii="Arial" w:hAnsi="Arial" w:cs="Arial"/>
              </w:rPr>
              <w:t>m</w:t>
            </w:r>
          </w:p>
        </w:tc>
      </w:tr>
    </w:tbl>
    <w:p w14:paraId="0610F2D2" w14:textId="77777777" w:rsidR="0085554A" w:rsidRPr="003A6C38" w:rsidRDefault="0085554A" w:rsidP="00FA5114">
      <w:pPr>
        <w:ind w:left="720"/>
        <w:jc w:val="both"/>
        <w:rPr>
          <w:rFonts w:ascii="Arial" w:hAnsi="Arial" w:cs="Arial"/>
        </w:rPr>
      </w:pPr>
    </w:p>
    <w:p w14:paraId="4AA2247B" w14:textId="028010CB" w:rsidR="00FA5114" w:rsidRPr="003A6C38" w:rsidRDefault="00FA5114" w:rsidP="00FA5114">
      <w:pPr>
        <w:ind w:left="720"/>
        <w:jc w:val="both"/>
        <w:rPr>
          <w:rFonts w:ascii="Arial" w:hAnsi="Arial" w:cs="Arial"/>
        </w:rPr>
      </w:pPr>
      <w:r w:rsidRPr="003A6C38">
        <w:rPr>
          <w:rFonts w:ascii="Arial" w:hAnsi="Arial" w:cs="Arial"/>
        </w:rPr>
        <w:t xml:space="preserve">Long-term investments with no fixed maturity date include strategic pooled funds and real estate investment trusts but exclude money market funds and bank accounts as these are considered short-term. </w:t>
      </w:r>
    </w:p>
    <w:p w14:paraId="781FBD91" w14:textId="77777777" w:rsidR="00881FD7" w:rsidRPr="003A6C38" w:rsidRDefault="00881FD7" w:rsidP="00881FD7">
      <w:pPr>
        <w:pStyle w:val="ListParagraph"/>
        <w:spacing w:after="120" w:line="240" w:lineRule="auto"/>
        <w:rPr>
          <w:rFonts w:ascii="Arial" w:eastAsia="Times New Roman" w:hAnsi="Arial" w:cs="Arial"/>
          <w:lang w:eastAsia="en-GB"/>
        </w:rPr>
      </w:pPr>
    </w:p>
    <w:p w14:paraId="45D03A23" w14:textId="77777777" w:rsidR="0085554A" w:rsidRPr="003A6C38" w:rsidRDefault="0085554A">
      <w:pPr>
        <w:spacing w:after="0" w:line="240" w:lineRule="auto"/>
        <w:rPr>
          <w:rFonts w:ascii="Arial" w:eastAsia="Times New Roman" w:hAnsi="Arial" w:cs="Arial"/>
          <w:b/>
          <w:lang w:eastAsia="en-GB"/>
        </w:rPr>
      </w:pPr>
      <w:r w:rsidRPr="003A6C38">
        <w:rPr>
          <w:rFonts w:ascii="Arial" w:eastAsia="Times New Roman" w:hAnsi="Arial" w:cs="Arial"/>
          <w:b/>
          <w:lang w:eastAsia="en-GB"/>
        </w:rPr>
        <w:br w:type="page"/>
      </w:r>
    </w:p>
    <w:p w14:paraId="28E39911" w14:textId="416E76CC" w:rsidR="00F264FF" w:rsidRPr="00F264FF" w:rsidRDefault="00F264FF" w:rsidP="00F264FF">
      <w:pPr>
        <w:spacing w:after="0" w:line="240" w:lineRule="auto"/>
        <w:rPr>
          <w:rFonts w:ascii="Arial" w:eastAsia="Times New Roman" w:hAnsi="Arial" w:cs="Arial"/>
          <w:b/>
          <w:lang w:eastAsia="en-GB"/>
        </w:rPr>
      </w:pPr>
      <w:r w:rsidRPr="00F264FF">
        <w:rPr>
          <w:rFonts w:ascii="Arial" w:eastAsia="Times New Roman" w:hAnsi="Arial" w:cs="Arial"/>
          <w:b/>
          <w:lang w:eastAsia="en-GB"/>
        </w:rPr>
        <w:lastRenderedPageBreak/>
        <w:t>Annex A</w:t>
      </w:r>
    </w:p>
    <w:p w14:paraId="3E73DC5F" w14:textId="77777777" w:rsidR="00F264FF" w:rsidRPr="00F264FF" w:rsidRDefault="00F264FF" w:rsidP="00F264FF">
      <w:pPr>
        <w:spacing w:after="0" w:line="240" w:lineRule="auto"/>
        <w:rPr>
          <w:rFonts w:ascii="Arial" w:eastAsia="Times New Roman" w:hAnsi="Arial" w:cs="Arial"/>
          <w:lang w:eastAsia="en-GB"/>
        </w:rPr>
      </w:pPr>
    </w:p>
    <w:p w14:paraId="7DD9EF04" w14:textId="77777777" w:rsidR="00F264FF" w:rsidRPr="00F264FF" w:rsidRDefault="00F264FF" w:rsidP="00F264FF">
      <w:pPr>
        <w:spacing w:after="240" w:line="240" w:lineRule="auto"/>
        <w:rPr>
          <w:rFonts w:ascii="Arial" w:eastAsia="Times New Roman" w:hAnsi="Arial" w:cs="Arial"/>
          <w:b/>
          <w:lang w:eastAsia="en-GB"/>
        </w:rPr>
      </w:pPr>
      <w:r w:rsidRPr="00F264FF">
        <w:rPr>
          <w:rFonts w:ascii="Arial" w:eastAsia="Times New Roman" w:hAnsi="Arial" w:cs="Arial"/>
          <w:b/>
          <w:lang w:eastAsia="en-GB"/>
        </w:rPr>
        <w:t>Treasury Management Policy Statement</w:t>
      </w:r>
    </w:p>
    <w:p w14:paraId="2CB369BC" w14:textId="77777777" w:rsidR="00F264FF" w:rsidRPr="00F264FF" w:rsidRDefault="00F264FF" w:rsidP="00F264FF">
      <w:pPr>
        <w:spacing w:after="120" w:line="240" w:lineRule="auto"/>
        <w:rPr>
          <w:rFonts w:ascii="Arial" w:eastAsia="Times New Roman" w:hAnsi="Arial" w:cs="Arial"/>
          <w:lang w:eastAsia="en-GB"/>
        </w:rPr>
      </w:pPr>
      <w:r w:rsidRPr="00F264FF">
        <w:rPr>
          <w:rFonts w:ascii="Arial" w:eastAsia="Times New Roman" w:hAnsi="Arial" w:cs="Arial"/>
          <w:lang w:eastAsia="en-GB"/>
        </w:rPr>
        <w:t>The Police and Crime Commissioner's financial regulations require him to create and maintain a treasury management policy statement, stating the policies, objectives and approach to risk management of his treasury activities, as a cornerstone for effective treasury management.</w:t>
      </w:r>
    </w:p>
    <w:p w14:paraId="79EC1FBE" w14:textId="77777777" w:rsidR="00F264FF" w:rsidRPr="00F264FF" w:rsidRDefault="00F264FF" w:rsidP="00F264FF">
      <w:pPr>
        <w:spacing w:after="120" w:line="240" w:lineRule="auto"/>
        <w:rPr>
          <w:rFonts w:ascii="Arial" w:eastAsia="Times New Roman" w:hAnsi="Arial" w:cs="Arial"/>
          <w:b/>
          <w:i/>
          <w:lang w:eastAsia="en-GB"/>
        </w:rPr>
      </w:pPr>
      <w:r w:rsidRPr="00F264FF">
        <w:rPr>
          <w:rFonts w:ascii="Arial" w:eastAsia="Times New Roman" w:hAnsi="Arial" w:cs="Arial"/>
          <w:b/>
          <w:i/>
          <w:lang w:eastAsia="en-GB"/>
        </w:rPr>
        <w:t>Definition</w:t>
      </w:r>
    </w:p>
    <w:p w14:paraId="728AC30B" w14:textId="77777777" w:rsidR="00F264FF" w:rsidRPr="00F264FF" w:rsidRDefault="00F264FF" w:rsidP="00F264FF">
      <w:pPr>
        <w:spacing w:after="120" w:line="240" w:lineRule="auto"/>
        <w:rPr>
          <w:rFonts w:ascii="Arial" w:eastAsia="Times New Roman" w:hAnsi="Arial" w:cs="Arial"/>
          <w:lang w:eastAsia="en-GB"/>
        </w:rPr>
      </w:pPr>
      <w:r w:rsidRPr="00F264FF">
        <w:rPr>
          <w:rFonts w:ascii="Arial" w:eastAsia="Times New Roman" w:hAnsi="Arial" w:cs="Arial"/>
          <w:lang w:eastAsia="en-GB"/>
        </w:rPr>
        <w:t>The Police and Crime Commissioner defines his treasury management activities as: the management of the Commissioner's investments and cash flows, his banking, money market and capital market transactions; the effective control of the risks associated with those activities; and the pursuit of optimum performance consistent with those risks.</w:t>
      </w:r>
    </w:p>
    <w:p w14:paraId="5069631F" w14:textId="77777777" w:rsidR="00F264FF" w:rsidRPr="00F264FF" w:rsidRDefault="00F264FF" w:rsidP="00F264FF">
      <w:pPr>
        <w:spacing w:after="120" w:line="240" w:lineRule="auto"/>
        <w:rPr>
          <w:rFonts w:ascii="Arial" w:eastAsia="Times New Roman" w:hAnsi="Arial" w:cs="Arial"/>
          <w:b/>
          <w:i/>
          <w:lang w:eastAsia="en-GB"/>
        </w:rPr>
      </w:pPr>
      <w:r w:rsidRPr="00F264FF">
        <w:rPr>
          <w:rFonts w:ascii="Arial" w:eastAsia="Times New Roman" w:hAnsi="Arial" w:cs="Arial"/>
          <w:b/>
          <w:i/>
          <w:lang w:eastAsia="en-GB"/>
        </w:rPr>
        <w:t>Risk management</w:t>
      </w:r>
    </w:p>
    <w:p w14:paraId="760C8C47" w14:textId="77777777" w:rsidR="00F264FF" w:rsidRPr="00F264FF" w:rsidRDefault="00F264FF" w:rsidP="00F264FF">
      <w:pPr>
        <w:spacing w:after="120" w:line="240" w:lineRule="auto"/>
        <w:rPr>
          <w:rFonts w:ascii="Arial" w:eastAsia="Times New Roman" w:hAnsi="Arial" w:cs="Arial"/>
          <w:lang w:eastAsia="en-GB"/>
        </w:rPr>
      </w:pPr>
      <w:r w:rsidRPr="00F264FF">
        <w:rPr>
          <w:rFonts w:ascii="Arial" w:eastAsia="Times New Roman" w:hAnsi="Arial" w:cs="Arial"/>
          <w:lang w:eastAsia="en-GB"/>
        </w:rPr>
        <w:t>The Commissioner regards the successful identification, monitoring and control of risk to be the prime criteria by which the effectiveness of his treasury management activities will be measured.  Accordingly, the analysis and reporting of treasury management activities will focus on their risk implications for the organisation, and any financial instruments entered into to manage these risks.</w:t>
      </w:r>
    </w:p>
    <w:p w14:paraId="5A6E6ED6" w14:textId="77777777" w:rsidR="00F264FF" w:rsidRPr="00F264FF" w:rsidRDefault="00F264FF" w:rsidP="00F264FF">
      <w:pPr>
        <w:spacing w:after="120" w:line="240" w:lineRule="auto"/>
        <w:rPr>
          <w:rFonts w:ascii="Arial" w:eastAsia="Times New Roman" w:hAnsi="Arial" w:cs="Arial"/>
          <w:b/>
          <w:i/>
          <w:lang w:eastAsia="en-GB"/>
        </w:rPr>
      </w:pPr>
      <w:r w:rsidRPr="00F264FF">
        <w:rPr>
          <w:rFonts w:ascii="Arial" w:eastAsia="Times New Roman" w:hAnsi="Arial" w:cs="Arial"/>
          <w:b/>
          <w:i/>
          <w:lang w:eastAsia="en-GB"/>
        </w:rPr>
        <w:t>Value for money</w:t>
      </w:r>
    </w:p>
    <w:p w14:paraId="599EE913" w14:textId="77777777" w:rsidR="00F264FF" w:rsidRPr="00F264FF" w:rsidRDefault="00F264FF" w:rsidP="00F264FF">
      <w:pPr>
        <w:spacing w:after="120" w:line="240" w:lineRule="auto"/>
        <w:rPr>
          <w:rFonts w:ascii="Arial" w:eastAsia="Times New Roman" w:hAnsi="Arial" w:cs="Arial"/>
          <w:lang w:eastAsia="en-GB"/>
        </w:rPr>
      </w:pPr>
      <w:r w:rsidRPr="00F264FF">
        <w:rPr>
          <w:rFonts w:ascii="Arial" w:eastAsia="Times New Roman" w:hAnsi="Arial" w:cs="Arial"/>
          <w:lang w:eastAsia="en-GB"/>
        </w:rPr>
        <w:t>The Commissioner acknowledges that effective treasury management will provide support towards the achievement of its business and service objectives.  He is therefore committed to the principles of achieving value for money in treasury management, and to employing suitable comprehensive performance measurement techniques, within the context of effective risk management.</w:t>
      </w:r>
    </w:p>
    <w:p w14:paraId="406055DE" w14:textId="77777777" w:rsidR="00F264FF" w:rsidRPr="00F264FF" w:rsidRDefault="00F264FF" w:rsidP="00F264FF">
      <w:pPr>
        <w:spacing w:after="120" w:line="240" w:lineRule="auto"/>
        <w:rPr>
          <w:rFonts w:ascii="Arial" w:eastAsia="Times New Roman" w:hAnsi="Arial" w:cs="Arial"/>
          <w:b/>
          <w:i/>
          <w:lang w:eastAsia="en-GB"/>
        </w:rPr>
      </w:pPr>
      <w:r w:rsidRPr="00F264FF">
        <w:rPr>
          <w:rFonts w:ascii="Arial" w:eastAsia="Times New Roman" w:hAnsi="Arial" w:cs="Arial"/>
          <w:b/>
          <w:i/>
          <w:lang w:eastAsia="en-GB"/>
        </w:rPr>
        <w:t xml:space="preserve">Borrowing policy </w:t>
      </w:r>
    </w:p>
    <w:p w14:paraId="4ACB08EE" w14:textId="77777777" w:rsidR="00F264FF" w:rsidRPr="00F264FF" w:rsidRDefault="00F264FF" w:rsidP="00F264FF">
      <w:pPr>
        <w:spacing w:after="120" w:line="240" w:lineRule="auto"/>
        <w:rPr>
          <w:rFonts w:ascii="Arial" w:eastAsia="Times New Roman" w:hAnsi="Arial" w:cs="Arial"/>
          <w:lang w:eastAsia="en-GB"/>
        </w:rPr>
      </w:pPr>
      <w:r w:rsidRPr="00F264FF">
        <w:rPr>
          <w:rFonts w:ascii="Arial" w:eastAsia="Times New Roman" w:hAnsi="Arial" w:cs="Arial"/>
          <w:lang w:eastAsia="en-GB"/>
        </w:rPr>
        <w:t>The Commissioner aims to fund its capital expenditure in a cost-effective manner. This will involve using short term and variable rate loans when these are seen as being the most beneficial strategy. However, consideration will be given to the long-term funding needs and the stability to budgets that fixed interest loans provides. The Commissioner will also constantly evaluate debt restructuring opportunities of the existing portfolio.</w:t>
      </w:r>
    </w:p>
    <w:p w14:paraId="6A225FC9" w14:textId="77777777" w:rsidR="00F264FF" w:rsidRPr="00F264FF" w:rsidRDefault="00F264FF" w:rsidP="00F264FF">
      <w:pPr>
        <w:spacing w:after="120" w:line="240" w:lineRule="auto"/>
        <w:rPr>
          <w:rFonts w:ascii="Arial" w:eastAsia="Times New Roman" w:hAnsi="Arial" w:cs="Arial"/>
          <w:lang w:eastAsia="en-GB"/>
        </w:rPr>
      </w:pPr>
      <w:r w:rsidRPr="00F264FF">
        <w:rPr>
          <w:rFonts w:ascii="Arial" w:eastAsia="Times New Roman" w:hAnsi="Arial" w:cs="Arial"/>
          <w:lang w:eastAsia="en-GB"/>
        </w:rPr>
        <w:t xml:space="preserve">The Commissioner will set an affordable borrowing limit each year in compliance with the </w:t>
      </w:r>
      <w:r w:rsidRPr="00F264FF">
        <w:rPr>
          <w:rFonts w:ascii="Arial" w:eastAsia="Times New Roman" w:hAnsi="Arial" w:cs="Arial"/>
          <w:i/>
          <w:lang w:eastAsia="en-GB"/>
        </w:rPr>
        <w:t>Local Government Act 2003</w:t>
      </w:r>
      <w:r w:rsidRPr="00F264FF">
        <w:rPr>
          <w:rFonts w:ascii="Arial" w:eastAsia="Times New Roman" w:hAnsi="Arial" w:cs="Arial"/>
          <w:lang w:eastAsia="en-GB"/>
        </w:rPr>
        <w:t xml:space="preserve"> and will have regard to the </w:t>
      </w:r>
      <w:r w:rsidRPr="00F264FF">
        <w:rPr>
          <w:rFonts w:ascii="Arial" w:eastAsia="Times New Roman" w:hAnsi="Arial" w:cs="Arial"/>
          <w:i/>
          <w:lang w:eastAsia="en-GB"/>
        </w:rPr>
        <w:t xml:space="preserve">CIPFA Prudential Code for Capital Finance in Local Authorities </w:t>
      </w:r>
      <w:r w:rsidRPr="00F264FF">
        <w:rPr>
          <w:rFonts w:ascii="Arial" w:eastAsia="Times New Roman" w:hAnsi="Arial" w:cs="Arial"/>
          <w:lang w:eastAsia="en-GB"/>
        </w:rPr>
        <w:t>when setting that limit.  He will also set limits on its exposure to changes in interest rates and limits on the maturity structure of its borrowing in the treasury management strategy report each year.</w:t>
      </w:r>
    </w:p>
    <w:p w14:paraId="43C18D3E" w14:textId="77777777" w:rsidR="00F264FF" w:rsidRPr="00F264FF" w:rsidRDefault="00F264FF" w:rsidP="00F264FF">
      <w:pPr>
        <w:spacing w:after="120" w:line="240" w:lineRule="auto"/>
        <w:rPr>
          <w:rFonts w:ascii="Arial" w:eastAsia="Times New Roman" w:hAnsi="Arial" w:cs="Arial"/>
          <w:b/>
          <w:i/>
          <w:lang w:eastAsia="en-GB"/>
        </w:rPr>
      </w:pPr>
      <w:r w:rsidRPr="00F264FF">
        <w:rPr>
          <w:rFonts w:ascii="Arial" w:eastAsia="Times New Roman" w:hAnsi="Arial" w:cs="Arial"/>
          <w:b/>
          <w:i/>
          <w:lang w:eastAsia="en-GB"/>
        </w:rPr>
        <w:t xml:space="preserve">Investment policy </w:t>
      </w:r>
    </w:p>
    <w:p w14:paraId="73545A96" w14:textId="77777777" w:rsidR="00F264FF" w:rsidRPr="00F264FF" w:rsidRDefault="00F264FF" w:rsidP="00F264FF">
      <w:pPr>
        <w:spacing w:after="120" w:line="240" w:lineRule="auto"/>
        <w:rPr>
          <w:rFonts w:ascii="Arial" w:eastAsia="Times New Roman" w:hAnsi="Arial" w:cs="Arial"/>
          <w:lang w:eastAsia="en-GB"/>
        </w:rPr>
      </w:pPr>
      <w:r w:rsidRPr="00F264FF">
        <w:rPr>
          <w:rFonts w:ascii="Arial" w:eastAsia="Times New Roman" w:hAnsi="Arial" w:cs="Arial"/>
          <w:lang w:eastAsia="en-GB"/>
        </w:rPr>
        <w:t>The Commissioner’s primary objectives for the investment of his surplus funds are to protect the principal sums invested from loss, and to ensure adequate liquidity so that funds are available for expenditure when needed.  The generation of investment income to support the provision of services is an important, but secondary, objective.</w:t>
      </w:r>
    </w:p>
    <w:p w14:paraId="06242F3F" w14:textId="77777777" w:rsidR="00F264FF" w:rsidRPr="00F264FF" w:rsidRDefault="00F264FF" w:rsidP="00F264FF">
      <w:pPr>
        <w:spacing w:after="120" w:line="240" w:lineRule="auto"/>
        <w:rPr>
          <w:rFonts w:ascii="Arial" w:eastAsia="Times New Roman" w:hAnsi="Arial" w:cs="Arial"/>
          <w:sz w:val="24"/>
          <w:szCs w:val="24"/>
          <w:lang w:eastAsia="en-GB"/>
        </w:rPr>
      </w:pPr>
      <w:r w:rsidRPr="00F264FF">
        <w:rPr>
          <w:rFonts w:ascii="Arial" w:eastAsia="Times New Roman" w:hAnsi="Arial" w:cs="Arial"/>
          <w:lang w:eastAsia="en-GB"/>
        </w:rPr>
        <w:t>The Commissioner will have regard to the Communities and Local Government Guidance on Local Government Investments and will approve an investment strategy each year as part of the treasury management strategy.  The strategy will set criteria to determine suitable organisations with which cash may be invested, limits on the maximum duration of such investments and limits on the amount of cash that may be invested with any one organisation.</w:t>
      </w:r>
    </w:p>
    <w:sectPr w:rsidR="00F264FF" w:rsidRPr="00F264FF" w:rsidSect="00046E24">
      <w:footerReference w:type="default" r:id="rId15"/>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D254" w14:textId="77777777" w:rsidR="00400E2F" w:rsidRDefault="00400E2F" w:rsidP="000445E6">
      <w:pPr>
        <w:spacing w:after="0" w:line="240" w:lineRule="auto"/>
      </w:pPr>
      <w:r>
        <w:separator/>
      </w:r>
    </w:p>
  </w:endnote>
  <w:endnote w:type="continuationSeparator" w:id="0">
    <w:p w14:paraId="35BF08BE" w14:textId="77777777" w:rsidR="00400E2F" w:rsidRDefault="00400E2F" w:rsidP="000445E6">
      <w:pPr>
        <w:spacing w:after="0" w:line="240" w:lineRule="auto"/>
      </w:pPr>
      <w:r>
        <w:continuationSeparator/>
      </w:r>
    </w:p>
  </w:endnote>
  <w:endnote w:type="continuationNotice" w:id="1">
    <w:p w14:paraId="50A3920D" w14:textId="77777777" w:rsidR="00400E2F" w:rsidRDefault="00400E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2F6A2" w14:textId="77777777" w:rsidR="00D04842" w:rsidRPr="000F18A5" w:rsidRDefault="00D04842">
    <w:pPr>
      <w:pStyle w:val="Footer"/>
      <w:jc w:val="right"/>
      <w:rPr>
        <w:rFonts w:ascii="Trebuchet MS" w:hAnsi="Trebuchet MS"/>
      </w:rPr>
    </w:pPr>
    <w:r w:rsidRPr="000F18A5">
      <w:rPr>
        <w:rFonts w:ascii="Trebuchet MS" w:hAnsi="Trebuchet MS"/>
      </w:rPr>
      <w:fldChar w:fldCharType="begin"/>
    </w:r>
    <w:r w:rsidRPr="000F18A5">
      <w:rPr>
        <w:rFonts w:ascii="Trebuchet MS" w:hAnsi="Trebuchet MS"/>
      </w:rPr>
      <w:instrText xml:space="preserve"> PAGE   \* MERGEFORMAT </w:instrText>
    </w:r>
    <w:r w:rsidRPr="000F18A5">
      <w:rPr>
        <w:rFonts w:ascii="Trebuchet MS" w:hAnsi="Trebuchet MS"/>
      </w:rPr>
      <w:fldChar w:fldCharType="separate"/>
    </w:r>
    <w:r>
      <w:rPr>
        <w:rFonts w:ascii="Trebuchet MS" w:hAnsi="Trebuchet MS"/>
        <w:noProof/>
      </w:rPr>
      <w:t>17</w:t>
    </w:r>
    <w:r w:rsidRPr="000F18A5">
      <w:rPr>
        <w:rFonts w:ascii="Trebuchet MS" w:hAnsi="Trebuchet MS"/>
        <w:noProof/>
      </w:rPr>
      <w:fldChar w:fldCharType="end"/>
    </w:r>
  </w:p>
  <w:p w14:paraId="3B3C6750" w14:textId="77777777" w:rsidR="00D04842" w:rsidRDefault="00D04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8FA4D" w14:textId="77777777" w:rsidR="00400E2F" w:rsidRDefault="00400E2F" w:rsidP="000445E6">
      <w:pPr>
        <w:spacing w:after="0" w:line="240" w:lineRule="auto"/>
      </w:pPr>
      <w:r>
        <w:separator/>
      </w:r>
    </w:p>
  </w:footnote>
  <w:footnote w:type="continuationSeparator" w:id="0">
    <w:p w14:paraId="13648091" w14:textId="77777777" w:rsidR="00400E2F" w:rsidRDefault="00400E2F" w:rsidP="000445E6">
      <w:pPr>
        <w:spacing w:after="0" w:line="240" w:lineRule="auto"/>
      </w:pPr>
      <w:r>
        <w:continuationSeparator/>
      </w:r>
    </w:p>
  </w:footnote>
  <w:footnote w:type="continuationNotice" w:id="1">
    <w:p w14:paraId="7EDE2502" w14:textId="77777777" w:rsidR="00400E2F" w:rsidRDefault="00400E2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100B"/>
    <w:multiLevelType w:val="multilevel"/>
    <w:tmpl w:val="3146B574"/>
    <w:lvl w:ilvl="0">
      <w:start w:val="15"/>
      <w:numFmt w:val="decimal"/>
      <w:lvlText w:val="%1."/>
      <w:lvlJc w:val="left"/>
      <w:pPr>
        <w:ind w:left="530" w:hanging="5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DAA705C"/>
    <w:multiLevelType w:val="multilevel"/>
    <w:tmpl w:val="A8E60998"/>
    <w:lvl w:ilvl="0">
      <w:start w:val="1"/>
      <w:numFmt w:val="decimal"/>
      <w:pStyle w:val="NumberedAnnexParaCharChar"/>
      <w:lvlText w:val="%1."/>
      <w:lvlJc w:val="left"/>
      <w:pPr>
        <w:tabs>
          <w:tab w:val="num" w:pos="1277"/>
        </w:tabs>
        <w:ind w:left="710" w:firstLine="0"/>
      </w:pPr>
      <w:rPr>
        <w:rFonts w:ascii="Arial" w:hAnsi="Arial" w:cs="Times New Roman" w:hint="default"/>
        <w:caps w:val="0"/>
        <w:strike w:val="0"/>
        <w:dstrike w:val="0"/>
        <w:vanish w:val="0"/>
        <w:webHidden w:val="0"/>
        <w:color w:val="00000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C16201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3D1DEB"/>
    <w:multiLevelType w:val="multilevel"/>
    <w:tmpl w:val="35601A12"/>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2900482"/>
    <w:multiLevelType w:val="hybridMultilevel"/>
    <w:tmpl w:val="FD622D8C"/>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1053DC"/>
    <w:multiLevelType w:val="multilevel"/>
    <w:tmpl w:val="B784DC2C"/>
    <w:lvl w:ilvl="0">
      <w:start w:val="1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D215710"/>
    <w:multiLevelType w:val="hybridMultilevel"/>
    <w:tmpl w:val="A3D0DB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DF81260"/>
    <w:multiLevelType w:val="hybridMultilevel"/>
    <w:tmpl w:val="27B4A4E0"/>
    <w:lvl w:ilvl="0" w:tplc="D6480338">
      <w:start w:val="1"/>
      <w:numFmt w:val="bullet"/>
      <w:lvlText w:val="•"/>
      <w:lvlJc w:val="left"/>
      <w:pPr>
        <w:tabs>
          <w:tab w:val="num" w:pos="720"/>
        </w:tabs>
        <w:ind w:left="720" w:hanging="360"/>
      </w:pPr>
      <w:rPr>
        <w:rFonts w:ascii="Arial" w:hAnsi="Arial" w:hint="default"/>
      </w:rPr>
    </w:lvl>
    <w:lvl w:ilvl="1" w:tplc="B2AE5142" w:tentative="1">
      <w:start w:val="1"/>
      <w:numFmt w:val="bullet"/>
      <w:lvlText w:val="•"/>
      <w:lvlJc w:val="left"/>
      <w:pPr>
        <w:tabs>
          <w:tab w:val="num" w:pos="1440"/>
        </w:tabs>
        <w:ind w:left="1440" w:hanging="360"/>
      </w:pPr>
      <w:rPr>
        <w:rFonts w:ascii="Arial" w:hAnsi="Arial" w:hint="default"/>
      </w:rPr>
    </w:lvl>
    <w:lvl w:ilvl="2" w:tplc="EA3472EC" w:tentative="1">
      <w:start w:val="1"/>
      <w:numFmt w:val="bullet"/>
      <w:lvlText w:val="•"/>
      <w:lvlJc w:val="left"/>
      <w:pPr>
        <w:tabs>
          <w:tab w:val="num" w:pos="2160"/>
        </w:tabs>
        <w:ind w:left="2160" w:hanging="360"/>
      </w:pPr>
      <w:rPr>
        <w:rFonts w:ascii="Arial" w:hAnsi="Arial" w:hint="default"/>
      </w:rPr>
    </w:lvl>
    <w:lvl w:ilvl="3" w:tplc="3A8A4F6E" w:tentative="1">
      <w:start w:val="1"/>
      <w:numFmt w:val="bullet"/>
      <w:lvlText w:val="•"/>
      <w:lvlJc w:val="left"/>
      <w:pPr>
        <w:tabs>
          <w:tab w:val="num" w:pos="2880"/>
        </w:tabs>
        <w:ind w:left="2880" w:hanging="360"/>
      </w:pPr>
      <w:rPr>
        <w:rFonts w:ascii="Arial" w:hAnsi="Arial" w:hint="default"/>
      </w:rPr>
    </w:lvl>
    <w:lvl w:ilvl="4" w:tplc="81A87276" w:tentative="1">
      <w:start w:val="1"/>
      <w:numFmt w:val="bullet"/>
      <w:lvlText w:val="•"/>
      <w:lvlJc w:val="left"/>
      <w:pPr>
        <w:tabs>
          <w:tab w:val="num" w:pos="3600"/>
        </w:tabs>
        <w:ind w:left="3600" w:hanging="360"/>
      </w:pPr>
      <w:rPr>
        <w:rFonts w:ascii="Arial" w:hAnsi="Arial" w:hint="default"/>
      </w:rPr>
    </w:lvl>
    <w:lvl w:ilvl="5" w:tplc="8F3C949E" w:tentative="1">
      <w:start w:val="1"/>
      <w:numFmt w:val="bullet"/>
      <w:lvlText w:val="•"/>
      <w:lvlJc w:val="left"/>
      <w:pPr>
        <w:tabs>
          <w:tab w:val="num" w:pos="4320"/>
        </w:tabs>
        <w:ind w:left="4320" w:hanging="360"/>
      </w:pPr>
      <w:rPr>
        <w:rFonts w:ascii="Arial" w:hAnsi="Arial" w:hint="default"/>
      </w:rPr>
    </w:lvl>
    <w:lvl w:ilvl="6" w:tplc="0F9E6B04" w:tentative="1">
      <w:start w:val="1"/>
      <w:numFmt w:val="bullet"/>
      <w:lvlText w:val="•"/>
      <w:lvlJc w:val="left"/>
      <w:pPr>
        <w:tabs>
          <w:tab w:val="num" w:pos="5040"/>
        </w:tabs>
        <w:ind w:left="5040" w:hanging="360"/>
      </w:pPr>
      <w:rPr>
        <w:rFonts w:ascii="Arial" w:hAnsi="Arial" w:hint="default"/>
      </w:rPr>
    </w:lvl>
    <w:lvl w:ilvl="7" w:tplc="ECD2D3BE" w:tentative="1">
      <w:start w:val="1"/>
      <w:numFmt w:val="bullet"/>
      <w:lvlText w:val="•"/>
      <w:lvlJc w:val="left"/>
      <w:pPr>
        <w:tabs>
          <w:tab w:val="num" w:pos="5760"/>
        </w:tabs>
        <w:ind w:left="5760" w:hanging="360"/>
      </w:pPr>
      <w:rPr>
        <w:rFonts w:ascii="Arial" w:hAnsi="Arial" w:hint="default"/>
      </w:rPr>
    </w:lvl>
    <w:lvl w:ilvl="8" w:tplc="E0FCE50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54949E2"/>
    <w:multiLevelType w:val="hybridMultilevel"/>
    <w:tmpl w:val="D3ECA03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B74C67"/>
    <w:multiLevelType w:val="singleLevel"/>
    <w:tmpl w:val="55A8656E"/>
    <w:lvl w:ilvl="0">
      <w:start w:val="1"/>
      <w:numFmt w:val="decimal"/>
      <w:lvlText w:val="%1."/>
      <w:lvlJc w:val="left"/>
      <w:pPr>
        <w:tabs>
          <w:tab w:val="num" w:pos="4405"/>
        </w:tabs>
        <w:ind w:left="4405" w:hanging="720"/>
      </w:pPr>
      <w:rPr>
        <w:rFonts w:cs="Times New Roman"/>
      </w:rPr>
    </w:lvl>
  </w:abstractNum>
  <w:abstractNum w:abstractNumId="10" w15:restartNumberingAfterBreak="0">
    <w:nsid w:val="4967379B"/>
    <w:multiLevelType w:val="hybridMultilevel"/>
    <w:tmpl w:val="0284E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D54657"/>
    <w:multiLevelType w:val="hybridMultilevel"/>
    <w:tmpl w:val="980EB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8A76E9"/>
    <w:multiLevelType w:val="hybridMultilevel"/>
    <w:tmpl w:val="1E9CA8FE"/>
    <w:lvl w:ilvl="0" w:tplc="770A17B2">
      <w:numFmt w:val="bullet"/>
      <w:lvlText w:val="•"/>
      <w:lvlJc w:val="left"/>
      <w:pPr>
        <w:ind w:left="2160" w:hanging="72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9AF6121"/>
    <w:multiLevelType w:val="hybridMultilevel"/>
    <w:tmpl w:val="7FD2222E"/>
    <w:lvl w:ilvl="0" w:tplc="770A17B2">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A1174DA"/>
    <w:multiLevelType w:val="hybridMultilevel"/>
    <w:tmpl w:val="1BE0C0C8"/>
    <w:lvl w:ilvl="0" w:tplc="770A17B2">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B047FB5"/>
    <w:multiLevelType w:val="hybridMultilevel"/>
    <w:tmpl w:val="46FA3C84"/>
    <w:lvl w:ilvl="0" w:tplc="770A17B2">
      <w:numFmt w:val="bullet"/>
      <w:lvlText w:val="•"/>
      <w:lvlJc w:val="left"/>
      <w:pPr>
        <w:ind w:left="2160" w:hanging="72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D096486"/>
    <w:multiLevelType w:val="hybridMultilevel"/>
    <w:tmpl w:val="6276BF58"/>
    <w:lvl w:ilvl="0" w:tplc="B0C645C8">
      <w:start w:val="5"/>
      <w:numFmt w:val="bullet"/>
      <w:lvlText w:val="•"/>
      <w:lvlJc w:val="left"/>
      <w:pPr>
        <w:ind w:left="1080" w:hanging="720"/>
      </w:pPr>
      <w:rPr>
        <w:rFonts w:ascii="Trebuchet MS" w:eastAsia="Calibri" w:hAnsi="Trebuchet MS" w:cs="Times New Roman" w:hint="default"/>
      </w:rPr>
    </w:lvl>
    <w:lvl w:ilvl="1" w:tplc="0B2C1400">
      <w:numFmt w:val="bullet"/>
      <w:lvlText w:val=""/>
      <w:lvlJc w:val="left"/>
      <w:pPr>
        <w:ind w:left="1800" w:hanging="720"/>
      </w:pPr>
      <w:rPr>
        <w:rFonts w:ascii="Symbol" w:eastAsia="Calibr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F81C5F"/>
    <w:multiLevelType w:val="hybridMultilevel"/>
    <w:tmpl w:val="38766418"/>
    <w:lvl w:ilvl="0" w:tplc="770A17B2">
      <w:numFmt w:val="bullet"/>
      <w:lvlText w:val="•"/>
      <w:lvlJc w:val="left"/>
      <w:pPr>
        <w:ind w:left="2160" w:hanging="72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09D29C5"/>
    <w:multiLevelType w:val="multilevel"/>
    <w:tmpl w:val="2C866FD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E0431D"/>
    <w:multiLevelType w:val="hybridMultilevel"/>
    <w:tmpl w:val="8020CB7C"/>
    <w:lvl w:ilvl="0" w:tplc="770A17B2">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1457341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4243985">
    <w:abstractNumId w:val="16"/>
  </w:num>
  <w:num w:numId="3" w16cid:durableId="1806386441">
    <w:abstractNumId w:val="7"/>
  </w:num>
  <w:num w:numId="4" w16cid:durableId="103158778">
    <w:abstractNumId w:val="2"/>
  </w:num>
  <w:num w:numId="5" w16cid:durableId="882138195">
    <w:abstractNumId w:val="18"/>
  </w:num>
  <w:num w:numId="6" w16cid:durableId="2134714830">
    <w:abstractNumId w:val="3"/>
  </w:num>
  <w:num w:numId="7" w16cid:durableId="1160315421">
    <w:abstractNumId w:val="13"/>
  </w:num>
  <w:num w:numId="8" w16cid:durableId="329063574">
    <w:abstractNumId w:val="11"/>
  </w:num>
  <w:num w:numId="9" w16cid:durableId="2124491203">
    <w:abstractNumId w:val="10"/>
  </w:num>
  <w:num w:numId="10" w16cid:durableId="1738549439">
    <w:abstractNumId w:val="15"/>
  </w:num>
  <w:num w:numId="11" w16cid:durableId="682785443">
    <w:abstractNumId w:val="14"/>
  </w:num>
  <w:num w:numId="12" w16cid:durableId="1029919094">
    <w:abstractNumId w:val="17"/>
  </w:num>
  <w:num w:numId="13" w16cid:durableId="1890342495">
    <w:abstractNumId w:val="19"/>
  </w:num>
  <w:num w:numId="14" w16cid:durableId="2047171295">
    <w:abstractNumId w:val="8"/>
  </w:num>
  <w:num w:numId="15" w16cid:durableId="539441712">
    <w:abstractNumId w:val="5"/>
  </w:num>
  <w:num w:numId="16" w16cid:durableId="288243843">
    <w:abstractNumId w:val="9"/>
  </w:num>
  <w:num w:numId="17" w16cid:durableId="1987934025">
    <w:abstractNumId w:val="4"/>
  </w:num>
  <w:num w:numId="18" w16cid:durableId="1835074202">
    <w:abstractNumId w:val="0"/>
  </w:num>
  <w:num w:numId="19" w16cid:durableId="1361470442">
    <w:abstractNumId w:val="12"/>
  </w:num>
  <w:num w:numId="20" w16cid:durableId="101688246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053"/>
    <w:rsid w:val="0000104C"/>
    <w:rsid w:val="000013C8"/>
    <w:rsid w:val="00001872"/>
    <w:rsid w:val="0000199E"/>
    <w:rsid w:val="00002082"/>
    <w:rsid w:val="000025FE"/>
    <w:rsid w:val="00002C6F"/>
    <w:rsid w:val="00006465"/>
    <w:rsid w:val="0000658F"/>
    <w:rsid w:val="0000758A"/>
    <w:rsid w:val="000120A8"/>
    <w:rsid w:val="00012AE0"/>
    <w:rsid w:val="00012E19"/>
    <w:rsid w:val="00013576"/>
    <w:rsid w:val="00014378"/>
    <w:rsid w:val="0001446D"/>
    <w:rsid w:val="00014AAC"/>
    <w:rsid w:val="00014AF7"/>
    <w:rsid w:val="00015BCE"/>
    <w:rsid w:val="00015C43"/>
    <w:rsid w:val="000168CC"/>
    <w:rsid w:val="00017EAF"/>
    <w:rsid w:val="0002141E"/>
    <w:rsid w:val="0002145E"/>
    <w:rsid w:val="00023CC9"/>
    <w:rsid w:val="00024024"/>
    <w:rsid w:val="0002411A"/>
    <w:rsid w:val="00024174"/>
    <w:rsid w:val="0002498F"/>
    <w:rsid w:val="000258F5"/>
    <w:rsid w:val="00026248"/>
    <w:rsid w:val="00026425"/>
    <w:rsid w:val="00027815"/>
    <w:rsid w:val="00030AA6"/>
    <w:rsid w:val="00030EF9"/>
    <w:rsid w:val="000313E1"/>
    <w:rsid w:val="000314E3"/>
    <w:rsid w:val="00031B49"/>
    <w:rsid w:val="0003207B"/>
    <w:rsid w:val="00032328"/>
    <w:rsid w:val="00032B94"/>
    <w:rsid w:val="0003397B"/>
    <w:rsid w:val="00035BC5"/>
    <w:rsid w:val="00040DD3"/>
    <w:rsid w:val="000417E2"/>
    <w:rsid w:val="0004238D"/>
    <w:rsid w:val="000424EF"/>
    <w:rsid w:val="00042D83"/>
    <w:rsid w:val="00043839"/>
    <w:rsid w:val="000445E6"/>
    <w:rsid w:val="00044AF7"/>
    <w:rsid w:val="00045F07"/>
    <w:rsid w:val="000461FE"/>
    <w:rsid w:val="000467DD"/>
    <w:rsid w:val="00046E24"/>
    <w:rsid w:val="00046E6A"/>
    <w:rsid w:val="00050647"/>
    <w:rsid w:val="0005108D"/>
    <w:rsid w:val="000510D8"/>
    <w:rsid w:val="000516D5"/>
    <w:rsid w:val="000524D6"/>
    <w:rsid w:val="000544F7"/>
    <w:rsid w:val="000558DE"/>
    <w:rsid w:val="00055B74"/>
    <w:rsid w:val="00056956"/>
    <w:rsid w:val="00056EFC"/>
    <w:rsid w:val="0005751B"/>
    <w:rsid w:val="0005794B"/>
    <w:rsid w:val="000601A1"/>
    <w:rsid w:val="00061569"/>
    <w:rsid w:val="00061CBA"/>
    <w:rsid w:val="00062DAA"/>
    <w:rsid w:val="00063999"/>
    <w:rsid w:val="00063F3A"/>
    <w:rsid w:val="00064654"/>
    <w:rsid w:val="000646F7"/>
    <w:rsid w:val="000647CA"/>
    <w:rsid w:val="0006569C"/>
    <w:rsid w:val="00065BBF"/>
    <w:rsid w:val="00066110"/>
    <w:rsid w:val="00067EF7"/>
    <w:rsid w:val="000712F8"/>
    <w:rsid w:val="000717F9"/>
    <w:rsid w:val="000735AC"/>
    <w:rsid w:val="00073BDE"/>
    <w:rsid w:val="00074547"/>
    <w:rsid w:val="00075ADF"/>
    <w:rsid w:val="00075BA5"/>
    <w:rsid w:val="00076EFF"/>
    <w:rsid w:val="00077B80"/>
    <w:rsid w:val="000802CA"/>
    <w:rsid w:val="0008102D"/>
    <w:rsid w:val="000824E8"/>
    <w:rsid w:val="00083937"/>
    <w:rsid w:val="00084442"/>
    <w:rsid w:val="0008447C"/>
    <w:rsid w:val="000846FC"/>
    <w:rsid w:val="000854C9"/>
    <w:rsid w:val="000862B8"/>
    <w:rsid w:val="00086C54"/>
    <w:rsid w:val="00086DE8"/>
    <w:rsid w:val="00087E0D"/>
    <w:rsid w:val="00090722"/>
    <w:rsid w:val="00091A7B"/>
    <w:rsid w:val="0009204E"/>
    <w:rsid w:val="00092B4F"/>
    <w:rsid w:val="000934F4"/>
    <w:rsid w:val="0009606E"/>
    <w:rsid w:val="00096F47"/>
    <w:rsid w:val="000976C9"/>
    <w:rsid w:val="000979F3"/>
    <w:rsid w:val="00097B87"/>
    <w:rsid w:val="00097E84"/>
    <w:rsid w:val="000A0822"/>
    <w:rsid w:val="000A13BB"/>
    <w:rsid w:val="000A1A2A"/>
    <w:rsid w:val="000A2E12"/>
    <w:rsid w:val="000A3AA1"/>
    <w:rsid w:val="000A4945"/>
    <w:rsid w:val="000A59FD"/>
    <w:rsid w:val="000A6ADF"/>
    <w:rsid w:val="000A7A7A"/>
    <w:rsid w:val="000A7C0C"/>
    <w:rsid w:val="000A7EF6"/>
    <w:rsid w:val="000B0CFF"/>
    <w:rsid w:val="000B17D6"/>
    <w:rsid w:val="000B1A95"/>
    <w:rsid w:val="000B1CC9"/>
    <w:rsid w:val="000B2E36"/>
    <w:rsid w:val="000B39CE"/>
    <w:rsid w:val="000B3C00"/>
    <w:rsid w:val="000B5B6A"/>
    <w:rsid w:val="000B6518"/>
    <w:rsid w:val="000B6A0F"/>
    <w:rsid w:val="000B6FB1"/>
    <w:rsid w:val="000C04C7"/>
    <w:rsid w:val="000C3A25"/>
    <w:rsid w:val="000C3EE1"/>
    <w:rsid w:val="000C58DE"/>
    <w:rsid w:val="000C6282"/>
    <w:rsid w:val="000C6E8F"/>
    <w:rsid w:val="000C7544"/>
    <w:rsid w:val="000C754B"/>
    <w:rsid w:val="000C75AB"/>
    <w:rsid w:val="000C78FE"/>
    <w:rsid w:val="000D0369"/>
    <w:rsid w:val="000D056B"/>
    <w:rsid w:val="000D0833"/>
    <w:rsid w:val="000D1110"/>
    <w:rsid w:val="000D206D"/>
    <w:rsid w:val="000D474E"/>
    <w:rsid w:val="000D4B54"/>
    <w:rsid w:val="000D5FE6"/>
    <w:rsid w:val="000D6E92"/>
    <w:rsid w:val="000E180B"/>
    <w:rsid w:val="000E23B7"/>
    <w:rsid w:val="000E324D"/>
    <w:rsid w:val="000E3799"/>
    <w:rsid w:val="000E4C02"/>
    <w:rsid w:val="000E52D7"/>
    <w:rsid w:val="000E6024"/>
    <w:rsid w:val="000E6521"/>
    <w:rsid w:val="000E6B5D"/>
    <w:rsid w:val="000F02A5"/>
    <w:rsid w:val="000F18A5"/>
    <w:rsid w:val="000F1B54"/>
    <w:rsid w:val="000F75D5"/>
    <w:rsid w:val="00100292"/>
    <w:rsid w:val="001007BE"/>
    <w:rsid w:val="00100A0C"/>
    <w:rsid w:val="00104F2D"/>
    <w:rsid w:val="0010571E"/>
    <w:rsid w:val="00105E7D"/>
    <w:rsid w:val="001061EB"/>
    <w:rsid w:val="0010666D"/>
    <w:rsid w:val="00110302"/>
    <w:rsid w:val="0011048E"/>
    <w:rsid w:val="001108B0"/>
    <w:rsid w:val="00110E7B"/>
    <w:rsid w:val="00111CEB"/>
    <w:rsid w:val="0011375D"/>
    <w:rsid w:val="00114D44"/>
    <w:rsid w:val="00115D43"/>
    <w:rsid w:val="00116DB3"/>
    <w:rsid w:val="00117F58"/>
    <w:rsid w:val="00120767"/>
    <w:rsid w:val="00120AD2"/>
    <w:rsid w:val="00121B39"/>
    <w:rsid w:val="00121C31"/>
    <w:rsid w:val="00122824"/>
    <w:rsid w:val="001232C1"/>
    <w:rsid w:val="00124824"/>
    <w:rsid w:val="00124C08"/>
    <w:rsid w:val="001254AD"/>
    <w:rsid w:val="00125BC0"/>
    <w:rsid w:val="00125FA4"/>
    <w:rsid w:val="001272AE"/>
    <w:rsid w:val="0013043A"/>
    <w:rsid w:val="00132091"/>
    <w:rsid w:val="00132B27"/>
    <w:rsid w:val="00135609"/>
    <w:rsid w:val="00135960"/>
    <w:rsid w:val="00135BA5"/>
    <w:rsid w:val="0013660F"/>
    <w:rsid w:val="00136DD3"/>
    <w:rsid w:val="001371ED"/>
    <w:rsid w:val="00137297"/>
    <w:rsid w:val="00137997"/>
    <w:rsid w:val="0014078C"/>
    <w:rsid w:val="00140952"/>
    <w:rsid w:val="0014264D"/>
    <w:rsid w:val="00143FD5"/>
    <w:rsid w:val="0014417D"/>
    <w:rsid w:val="00144764"/>
    <w:rsid w:val="00144FF6"/>
    <w:rsid w:val="00145863"/>
    <w:rsid w:val="00145F24"/>
    <w:rsid w:val="00146440"/>
    <w:rsid w:val="00146C5C"/>
    <w:rsid w:val="00150BED"/>
    <w:rsid w:val="001513E0"/>
    <w:rsid w:val="00151663"/>
    <w:rsid w:val="001525F5"/>
    <w:rsid w:val="00153600"/>
    <w:rsid w:val="001538F1"/>
    <w:rsid w:val="00153A32"/>
    <w:rsid w:val="00154E08"/>
    <w:rsid w:val="00154F29"/>
    <w:rsid w:val="00156722"/>
    <w:rsid w:val="001571B5"/>
    <w:rsid w:val="00160C8A"/>
    <w:rsid w:val="0016103A"/>
    <w:rsid w:val="0016332C"/>
    <w:rsid w:val="0016480B"/>
    <w:rsid w:val="00165B26"/>
    <w:rsid w:val="00165F3B"/>
    <w:rsid w:val="0016603C"/>
    <w:rsid w:val="0016630D"/>
    <w:rsid w:val="00171B7B"/>
    <w:rsid w:val="00174929"/>
    <w:rsid w:val="00174A71"/>
    <w:rsid w:val="0017508D"/>
    <w:rsid w:val="001756FE"/>
    <w:rsid w:val="00175ED9"/>
    <w:rsid w:val="00176A0D"/>
    <w:rsid w:val="00177B80"/>
    <w:rsid w:val="00180E90"/>
    <w:rsid w:val="00182BCF"/>
    <w:rsid w:val="001834CA"/>
    <w:rsid w:val="00187F92"/>
    <w:rsid w:val="001915C4"/>
    <w:rsid w:val="001920B2"/>
    <w:rsid w:val="0019263F"/>
    <w:rsid w:val="00192999"/>
    <w:rsid w:val="00192FC8"/>
    <w:rsid w:val="00193B6F"/>
    <w:rsid w:val="00193CA5"/>
    <w:rsid w:val="00193E58"/>
    <w:rsid w:val="001940EE"/>
    <w:rsid w:val="00194229"/>
    <w:rsid w:val="00196895"/>
    <w:rsid w:val="00196C83"/>
    <w:rsid w:val="00196F2F"/>
    <w:rsid w:val="00196FF0"/>
    <w:rsid w:val="001A3C7B"/>
    <w:rsid w:val="001A3FB9"/>
    <w:rsid w:val="001A4B2F"/>
    <w:rsid w:val="001A4B7E"/>
    <w:rsid w:val="001A58ED"/>
    <w:rsid w:val="001A5AC9"/>
    <w:rsid w:val="001A6236"/>
    <w:rsid w:val="001A6F7D"/>
    <w:rsid w:val="001A7471"/>
    <w:rsid w:val="001A7599"/>
    <w:rsid w:val="001B0106"/>
    <w:rsid w:val="001B0266"/>
    <w:rsid w:val="001B0285"/>
    <w:rsid w:val="001B12AC"/>
    <w:rsid w:val="001B2473"/>
    <w:rsid w:val="001B2850"/>
    <w:rsid w:val="001B5446"/>
    <w:rsid w:val="001B6AD8"/>
    <w:rsid w:val="001B7D0C"/>
    <w:rsid w:val="001C1707"/>
    <w:rsid w:val="001C1F8A"/>
    <w:rsid w:val="001C202A"/>
    <w:rsid w:val="001C23ED"/>
    <w:rsid w:val="001C3093"/>
    <w:rsid w:val="001C423A"/>
    <w:rsid w:val="001C4576"/>
    <w:rsid w:val="001C51EA"/>
    <w:rsid w:val="001C5B22"/>
    <w:rsid w:val="001C7B17"/>
    <w:rsid w:val="001D0E03"/>
    <w:rsid w:val="001D1358"/>
    <w:rsid w:val="001D1D25"/>
    <w:rsid w:val="001D1EAD"/>
    <w:rsid w:val="001D3135"/>
    <w:rsid w:val="001D4623"/>
    <w:rsid w:val="001D4C40"/>
    <w:rsid w:val="001D707C"/>
    <w:rsid w:val="001D7358"/>
    <w:rsid w:val="001D75FA"/>
    <w:rsid w:val="001E121A"/>
    <w:rsid w:val="001E25C9"/>
    <w:rsid w:val="001E34A5"/>
    <w:rsid w:val="001E34AB"/>
    <w:rsid w:val="001E523B"/>
    <w:rsid w:val="001E52B8"/>
    <w:rsid w:val="001E5BB9"/>
    <w:rsid w:val="001E5FBF"/>
    <w:rsid w:val="001E6335"/>
    <w:rsid w:val="001E718B"/>
    <w:rsid w:val="001E7C9C"/>
    <w:rsid w:val="001E7DA7"/>
    <w:rsid w:val="001E7E3C"/>
    <w:rsid w:val="001F1710"/>
    <w:rsid w:val="001F1D6B"/>
    <w:rsid w:val="001F1DBC"/>
    <w:rsid w:val="001F6461"/>
    <w:rsid w:val="001F6540"/>
    <w:rsid w:val="001F6F03"/>
    <w:rsid w:val="001F7304"/>
    <w:rsid w:val="001F73D4"/>
    <w:rsid w:val="002003C2"/>
    <w:rsid w:val="002017C3"/>
    <w:rsid w:val="00201B24"/>
    <w:rsid w:val="00202E05"/>
    <w:rsid w:val="00202E2E"/>
    <w:rsid w:val="00204302"/>
    <w:rsid w:val="00204744"/>
    <w:rsid w:val="00206A1F"/>
    <w:rsid w:val="00210092"/>
    <w:rsid w:val="00210754"/>
    <w:rsid w:val="00211A3A"/>
    <w:rsid w:val="002127F7"/>
    <w:rsid w:val="0021387E"/>
    <w:rsid w:val="00213B39"/>
    <w:rsid w:val="0021482F"/>
    <w:rsid w:val="0021488D"/>
    <w:rsid w:val="00214A2F"/>
    <w:rsid w:val="00216E90"/>
    <w:rsid w:val="0021727A"/>
    <w:rsid w:val="002176A9"/>
    <w:rsid w:val="00220700"/>
    <w:rsid w:val="00220C71"/>
    <w:rsid w:val="00220C8C"/>
    <w:rsid w:val="00221976"/>
    <w:rsid w:val="00221C37"/>
    <w:rsid w:val="00222815"/>
    <w:rsid w:val="0022374C"/>
    <w:rsid w:val="00224278"/>
    <w:rsid w:val="00224CF9"/>
    <w:rsid w:val="0022538A"/>
    <w:rsid w:val="00225597"/>
    <w:rsid w:val="00225D04"/>
    <w:rsid w:val="00226991"/>
    <w:rsid w:val="002271C3"/>
    <w:rsid w:val="0022795A"/>
    <w:rsid w:val="00230D78"/>
    <w:rsid w:val="00231302"/>
    <w:rsid w:val="00232811"/>
    <w:rsid w:val="002339F0"/>
    <w:rsid w:val="00233F89"/>
    <w:rsid w:val="002340A6"/>
    <w:rsid w:val="00237F50"/>
    <w:rsid w:val="002401E1"/>
    <w:rsid w:val="00240B62"/>
    <w:rsid w:val="00240FA7"/>
    <w:rsid w:val="00242413"/>
    <w:rsid w:val="002429E4"/>
    <w:rsid w:val="0024385B"/>
    <w:rsid w:val="00243E06"/>
    <w:rsid w:val="00244F39"/>
    <w:rsid w:val="002453E8"/>
    <w:rsid w:val="0024702D"/>
    <w:rsid w:val="00247ACC"/>
    <w:rsid w:val="002515B6"/>
    <w:rsid w:val="0025166F"/>
    <w:rsid w:val="00251705"/>
    <w:rsid w:val="0025188A"/>
    <w:rsid w:val="002524D2"/>
    <w:rsid w:val="00255B12"/>
    <w:rsid w:val="00257ACF"/>
    <w:rsid w:val="0026017D"/>
    <w:rsid w:val="002605AF"/>
    <w:rsid w:val="00260E99"/>
    <w:rsid w:val="00261A50"/>
    <w:rsid w:val="002658C1"/>
    <w:rsid w:val="00265BB2"/>
    <w:rsid w:val="00266311"/>
    <w:rsid w:val="0026681B"/>
    <w:rsid w:val="00266B23"/>
    <w:rsid w:val="00267A89"/>
    <w:rsid w:val="00271D68"/>
    <w:rsid w:val="0027289B"/>
    <w:rsid w:val="002728ED"/>
    <w:rsid w:val="002729DE"/>
    <w:rsid w:val="00272A72"/>
    <w:rsid w:val="00272A76"/>
    <w:rsid w:val="00272C00"/>
    <w:rsid w:val="00273877"/>
    <w:rsid w:val="002767CB"/>
    <w:rsid w:val="002804E0"/>
    <w:rsid w:val="00280AB0"/>
    <w:rsid w:val="00280F35"/>
    <w:rsid w:val="00281D5B"/>
    <w:rsid w:val="002827D0"/>
    <w:rsid w:val="00282D74"/>
    <w:rsid w:val="00284A10"/>
    <w:rsid w:val="00284C24"/>
    <w:rsid w:val="00286510"/>
    <w:rsid w:val="0028677D"/>
    <w:rsid w:val="0028735D"/>
    <w:rsid w:val="002873D1"/>
    <w:rsid w:val="00290AEB"/>
    <w:rsid w:val="00291777"/>
    <w:rsid w:val="00292226"/>
    <w:rsid w:val="0029242E"/>
    <w:rsid w:val="00292A93"/>
    <w:rsid w:val="002964BD"/>
    <w:rsid w:val="002A069E"/>
    <w:rsid w:val="002A1836"/>
    <w:rsid w:val="002A28F6"/>
    <w:rsid w:val="002A2EB5"/>
    <w:rsid w:val="002A313F"/>
    <w:rsid w:val="002A4340"/>
    <w:rsid w:val="002A4464"/>
    <w:rsid w:val="002A58E5"/>
    <w:rsid w:val="002A65A2"/>
    <w:rsid w:val="002A6A8D"/>
    <w:rsid w:val="002A736F"/>
    <w:rsid w:val="002B0438"/>
    <w:rsid w:val="002B0D67"/>
    <w:rsid w:val="002B0FB5"/>
    <w:rsid w:val="002B146B"/>
    <w:rsid w:val="002B24C8"/>
    <w:rsid w:val="002B2FF4"/>
    <w:rsid w:val="002B303F"/>
    <w:rsid w:val="002B30E5"/>
    <w:rsid w:val="002B3383"/>
    <w:rsid w:val="002B3756"/>
    <w:rsid w:val="002B3760"/>
    <w:rsid w:val="002B39D1"/>
    <w:rsid w:val="002B464C"/>
    <w:rsid w:val="002B754A"/>
    <w:rsid w:val="002B7C0B"/>
    <w:rsid w:val="002C12D8"/>
    <w:rsid w:val="002C2E3D"/>
    <w:rsid w:val="002C305B"/>
    <w:rsid w:val="002C34A7"/>
    <w:rsid w:val="002C45DB"/>
    <w:rsid w:val="002C538A"/>
    <w:rsid w:val="002C5B67"/>
    <w:rsid w:val="002C62E3"/>
    <w:rsid w:val="002C7962"/>
    <w:rsid w:val="002C798A"/>
    <w:rsid w:val="002D0EC1"/>
    <w:rsid w:val="002D35BB"/>
    <w:rsid w:val="002D457B"/>
    <w:rsid w:val="002D46B7"/>
    <w:rsid w:val="002D5393"/>
    <w:rsid w:val="002E0C26"/>
    <w:rsid w:val="002E1603"/>
    <w:rsid w:val="002E1830"/>
    <w:rsid w:val="002E2446"/>
    <w:rsid w:val="002E3175"/>
    <w:rsid w:val="002E33E5"/>
    <w:rsid w:val="002E386D"/>
    <w:rsid w:val="002E3A4A"/>
    <w:rsid w:val="002E58B6"/>
    <w:rsid w:val="002E5A85"/>
    <w:rsid w:val="002F0253"/>
    <w:rsid w:val="002F0CD4"/>
    <w:rsid w:val="002F1E5D"/>
    <w:rsid w:val="002F343A"/>
    <w:rsid w:val="002F51AE"/>
    <w:rsid w:val="002F565F"/>
    <w:rsid w:val="002F66D7"/>
    <w:rsid w:val="002F736C"/>
    <w:rsid w:val="002F7AB8"/>
    <w:rsid w:val="00300BCC"/>
    <w:rsid w:val="0030318E"/>
    <w:rsid w:val="00304559"/>
    <w:rsid w:val="003045CF"/>
    <w:rsid w:val="003049FF"/>
    <w:rsid w:val="00304C29"/>
    <w:rsid w:val="00304FF7"/>
    <w:rsid w:val="003057F0"/>
    <w:rsid w:val="003059C5"/>
    <w:rsid w:val="00305C56"/>
    <w:rsid w:val="00306045"/>
    <w:rsid w:val="003070F8"/>
    <w:rsid w:val="00307B2B"/>
    <w:rsid w:val="0031020F"/>
    <w:rsid w:val="00310921"/>
    <w:rsid w:val="00310D1D"/>
    <w:rsid w:val="003127F0"/>
    <w:rsid w:val="00312C18"/>
    <w:rsid w:val="00312E03"/>
    <w:rsid w:val="0031356F"/>
    <w:rsid w:val="00313A6E"/>
    <w:rsid w:val="003144B3"/>
    <w:rsid w:val="00315F1D"/>
    <w:rsid w:val="00316D05"/>
    <w:rsid w:val="00316D42"/>
    <w:rsid w:val="00317570"/>
    <w:rsid w:val="00317CEE"/>
    <w:rsid w:val="003200DC"/>
    <w:rsid w:val="00320283"/>
    <w:rsid w:val="003224C3"/>
    <w:rsid w:val="00322570"/>
    <w:rsid w:val="00322900"/>
    <w:rsid w:val="00323223"/>
    <w:rsid w:val="00323740"/>
    <w:rsid w:val="00323896"/>
    <w:rsid w:val="00324524"/>
    <w:rsid w:val="003255C9"/>
    <w:rsid w:val="0032586E"/>
    <w:rsid w:val="0032664A"/>
    <w:rsid w:val="00326807"/>
    <w:rsid w:val="00327B98"/>
    <w:rsid w:val="00330D8B"/>
    <w:rsid w:val="003314EA"/>
    <w:rsid w:val="00332211"/>
    <w:rsid w:val="00332262"/>
    <w:rsid w:val="00333553"/>
    <w:rsid w:val="0033375E"/>
    <w:rsid w:val="0033562A"/>
    <w:rsid w:val="003365E1"/>
    <w:rsid w:val="0033782E"/>
    <w:rsid w:val="003378EB"/>
    <w:rsid w:val="00340677"/>
    <w:rsid w:val="00340B1B"/>
    <w:rsid w:val="0034340E"/>
    <w:rsid w:val="0034378C"/>
    <w:rsid w:val="00343817"/>
    <w:rsid w:val="003439A9"/>
    <w:rsid w:val="00344805"/>
    <w:rsid w:val="0034529C"/>
    <w:rsid w:val="00345CC1"/>
    <w:rsid w:val="00347CCB"/>
    <w:rsid w:val="0035153F"/>
    <w:rsid w:val="0035269E"/>
    <w:rsid w:val="00352B7A"/>
    <w:rsid w:val="003533BF"/>
    <w:rsid w:val="0035345B"/>
    <w:rsid w:val="003534B7"/>
    <w:rsid w:val="003545CA"/>
    <w:rsid w:val="00354750"/>
    <w:rsid w:val="00354898"/>
    <w:rsid w:val="00354D96"/>
    <w:rsid w:val="003555A4"/>
    <w:rsid w:val="003562AA"/>
    <w:rsid w:val="00356883"/>
    <w:rsid w:val="0035799D"/>
    <w:rsid w:val="00360A88"/>
    <w:rsid w:val="00360CFF"/>
    <w:rsid w:val="00362376"/>
    <w:rsid w:val="00362E79"/>
    <w:rsid w:val="00362EFD"/>
    <w:rsid w:val="0036317E"/>
    <w:rsid w:val="003646C2"/>
    <w:rsid w:val="0036497B"/>
    <w:rsid w:val="00365994"/>
    <w:rsid w:val="0036794C"/>
    <w:rsid w:val="00370DDB"/>
    <w:rsid w:val="0037127C"/>
    <w:rsid w:val="00373D11"/>
    <w:rsid w:val="00373D49"/>
    <w:rsid w:val="0037442B"/>
    <w:rsid w:val="00375A85"/>
    <w:rsid w:val="00376E5A"/>
    <w:rsid w:val="003776FB"/>
    <w:rsid w:val="00380833"/>
    <w:rsid w:val="00380E11"/>
    <w:rsid w:val="00380EC8"/>
    <w:rsid w:val="00381084"/>
    <w:rsid w:val="00386897"/>
    <w:rsid w:val="00390079"/>
    <w:rsid w:val="00392706"/>
    <w:rsid w:val="00392A9A"/>
    <w:rsid w:val="00395020"/>
    <w:rsid w:val="00396247"/>
    <w:rsid w:val="00396E2F"/>
    <w:rsid w:val="003A0DAA"/>
    <w:rsid w:val="003A1A21"/>
    <w:rsid w:val="003A2ECC"/>
    <w:rsid w:val="003A36F9"/>
    <w:rsid w:val="003A3D8D"/>
    <w:rsid w:val="003A42A8"/>
    <w:rsid w:val="003A474A"/>
    <w:rsid w:val="003A6B2F"/>
    <w:rsid w:val="003A6C38"/>
    <w:rsid w:val="003B0495"/>
    <w:rsid w:val="003B0FA7"/>
    <w:rsid w:val="003B3674"/>
    <w:rsid w:val="003B39F8"/>
    <w:rsid w:val="003B3E5B"/>
    <w:rsid w:val="003B4633"/>
    <w:rsid w:val="003B4A85"/>
    <w:rsid w:val="003B4AC6"/>
    <w:rsid w:val="003B5337"/>
    <w:rsid w:val="003B56CC"/>
    <w:rsid w:val="003B5A1A"/>
    <w:rsid w:val="003B79E6"/>
    <w:rsid w:val="003C166F"/>
    <w:rsid w:val="003C1A87"/>
    <w:rsid w:val="003C34C1"/>
    <w:rsid w:val="003C35A4"/>
    <w:rsid w:val="003C37FB"/>
    <w:rsid w:val="003C4EF2"/>
    <w:rsid w:val="003C589B"/>
    <w:rsid w:val="003C5FD0"/>
    <w:rsid w:val="003C6B1A"/>
    <w:rsid w:val="003C7C42"/>
    <w:rsid w:val="003D02BF"/>
    <w:rsid w:val="003D05BA"/>
    <w:rsid w:val="003D124E"/>
    <w:rsid w:val="003D1DA2"/>
    <w:rsid w:val="003D2A47"/>
    <w:rsid w:val="003D4800"/>
    <w:rsid w:val="003D5D0D"/>
    <w:rsid w:val="003D602F"/>
    <w:rsid w:val="003D7279"/>
    <w:rsid w:val="003E1032"/>
    <w:rsid w:val="003E1918"/>
    <w:rsid w:val="003E238D"/>
    <w:rsid w:val="003E4650"/>
    <w:rsid w:val="003E5BC8"/>
    <w:rsid w:val="003E6C64"/>
    <w:rsid w:val="003E6FF7"/>
    <w:rsid w:val="003F0A76"/>
    <w:rsid w:val="003F0B3B"/>
    <w:rsid w:val="003F0F71"/>
    <w:rsid w:val="003F1A0E"/>
    <w:rsid w:val="003F1CFC"/>
    <w:rsid w:val="003F1F75"/>
    <w:rsid w:val="003F20D2"/>
    <w:rsid w:val="003F2BC3"/>
    <w:rsid w:val="003F3EA4"/>
    <w:rsid w:val="003F42C8"/>
    <w:rsid w:val="003F5729"/>
    <w:rsid w:val="003F5F4F"/>
    <w:rsid w:val="003F7DDA"/>
    <w:rsid w:val="003F7E2B"/>
    <w:rsid w:val="00400E14"/>
    <w:rsid w:val="00400E2F"/>
    <w:rsid w:val="00402FBE"/>
    <w:rsid w:val="00404645"/>
    <w:rsid w:val="00405053"/>
    <w:rsid w:val="0040579A"/>
    <w:rsid w:val="004058BE"/>
    <w:rsid w:val="004059BC"/>
    <w:rsid w:val="00405F74"/>
    <w:rsid w:val="00407176"/>
    <w:rsid w:val="00407291"/>
    <w:rsid w:val="004079CE"/>
    <w:rsid w:val="00407BF4"/>
    <w:rsid w:val="004104EE"/>
    <w:rsid w:val="00410B74"/>
    <w:rsid w:val="0041119E"/>
    <w:rsid w:val="0041279D"/>
    <w:rsid w:val="00413012"/>
    <w:rsid w:val="00413562"/>
    <w:rsid w:val="00413776"/>
    <w:rsid w:val="00415C11"/>
    <w:rsid w:val="00417228"/>
    <w:rsid w:val="0041746B"/>
    <w:rsid w:val="0041798A"/>
    <w:rsid w:val="0042121C"/>
    <w:rsid w:val="00421A0C"/>
    <w:rsid w:val="00421F9E"/>
    <w:rsid w:val="00422D28"/>
    <w:rsid w:val="004238D8"/>
    <w:rsid w:val="00423C1A"/>
    <w:rsid w:val="0042496E"/>
    <w:rsid w:val="00424C2C"/>
    <w:rsid w:val="00424E17"/>
    <w:rsid w:val="0042609B"/>
    <w:rsid w:val="00426EE3"/>
    <w:rsid w:val="004276A4"/>
    <w:rsid w:val="00430DCA"/>
    <w:rsid w:val="00431BA5"/>
    <w:rsid w:val="00433E1A"/>
    <w:rsid w:val="004342E4"/>
    <w:rsid w:val="004348CC"/>
    <w:rsid w:val="0043563F"/>
    <w:rsid w:val="00436099"/>
    <w:rsid w:val="004363C9"/>
    <w:rsid w:val="004365B9"/>
    <w:rsid w:val="00436BAD"/>
    <w:rsid w:val="0043758C"/>
    <w:rsid w:val="004375E1"/>
    <w:rsid w:val="00440A2C"/>
    <w:rsid w:val="004417EA"/>
    <w:rsid w:val="00441833"/>
    <w:rsid w:val="004418A4"/>
    <w:rsid w:val="00441B75"/>
    <w:rsid w:val="00441B9F"/>
    <w:rsid w:val="004421AE"/>
    <w:rsid w:val="00442E07"/>
    <w:rsid w:val="004464BC"/>
    <w:rsid w:val="00446D0B"/>
    <w:rsid w:val="00450B3A"/>
    <w:rsid w:val="00451391"/>
    <w:rsid w:val="00451697"/>
    <w:rsid w:val="00451AB2"/>
    <w:rsid w:val="00451D3E"/>
    <w:rsid w:val="0045238B"/>
    <w:rsid w:val="00452827"/>
    <w:rsid w:val="00453EC2"/>
    <w:rsid w:val="004543AA"/>
    <w:rsid w:val="004549AE"/>
    <w:rsid w:val="00454B96"/>
    <w:rsid w:val="00454C1F"/>
    <w:rsid w:val="00455D7A"/>
    <w:rsid w:val="00461D98"/>
    <w:rsid w:val="00462059"/>
    <w:rsid w:val="00462572"/>
    <w:rsid w:val="004626A5"/>
    <w:rsid w:val="004628B2"/>
    <w:rsid w:val="00462DF7"/>
    <w:rsid w:val="00463781"/>
    <w:rsid w:val="004640E7"/>
    <w:rsid w:val="0046548D"/>
    <w:rsid w:val="0046570E"/>
    <w:rsid w:val="0046691C"/>
    <w:rsid w:val="004675F1"/>
    <w:rsid w:val="00471711"/>
    <w:rsid w:val="00471D75"/>
    <w:rsid w:val="004726A1"/>
    <w:rsid w:val="00472AE7"/>
    <w:rsid w:val="004736C9"/>
    <w:rsid w:val="00473A0C"/>
    <w:rsid w:val="00473BE8"/>
    <w:rsid w:val="00473DEC"/>
    <w:rsid w:val="004751E8"/>
    <w:rsid w:val="004751E9"/>
    <w:rsid w:val="00475465"/>
    <w:rsid w:val="0047566A"/>
    <w:rsid w:val="00476139"/>
    <w:rsid w:val="00476204"/>
    <w:rsid w:val="00476339"/>
    <w:rsid w:val="004763F1"/>
    <w:rsid w:val="0047756D"/>
    <w:rsid w:val="00480B0F"/>
    <w:rsid w:val="004817EB"/>
    <w:rsid w:val="0048217F"/>
    <w:rsid w:val="00482DFA"/>
    <w:rsid w:val="004839D1"/>
    <w:rsid w:val="00483EB3"/>
    <w:rsid w:val="004848F6"/>
    <w:rsid w:val="00484901"/>
    <w:rsid w:val="0048657B"/>
    <w:rsid w:val="00487BA6"/>
    <w:rsid w:val="0049100D"/>
    <w:rsid w:val="00492014"/>
    <w:rsid w:val="00492138"/>
    <w:rsid w:val="00492E90"/>
    <w:rsid w:val="0049320F"/>
    <w:rsid w:val="0049324A"/>
    <w:rsid w:val="00493F47"/>
    <w:rsid w:val="00494B44"/>
    <w:rsid w:val="004955A6"/>
    <w:rsid w:val="004969C3"/>
    <w:rsid w:val="00496E08"/>
    <w:rsid w:val="004A14A1"/>
    <w:rsid w:val="004A18ED"/>
    <w:rsid w:val="004A2AA8"/>
    <w:rsid w:val="004A49A5"/>
    <w:rsid w:val="004A4BD1"/>
    <w:rsid w:val="004A5382"/>
    <w:rsid w:val="004A6BE4"/>
    <w:rsid w:val="004A72FE"/>
    <w:rsid w:val="004B029B"/>
    <w:rsid w:val="004B0410"/>
    <w:rsid w:val="004B07A6"/>
    <w:rsid w:val="004B1C65"/>
    <w:rsid w:val="004B2544"/>
    <w:rsid w:val="004B25A6"/>
    <w:rsid w:val="004B4462"/>
    <w:rsid w:val="004B4997"/>
    <w:rsid w:val="004B4BFE"/>
    <w:rsid w:val="004B5114"/>
    <w:rsid w:val="004B52AA"/>
    <w:rsid w:val="004B63C1"/>
    <w:rsid w:val="004B6ECC"/>
    <w:rsid w:val="004B728F"/>
    <w:rsid w:val="004B7636"/>
    <w:rsid w:val="004B7DB4"/>
    <w:rsid w:val="004C0B4B"/>
    <w:rsid w:val="004C10B0"/>
    <w:rsid w:val="004C23CA"/>
    <w:rsid w:val="004C29EC"/>
    <w:rsid w:val="004C4984"/>
    <w:rsid w:val="004C4D42"/>
    <w:rsid w:val="004C6B8B"/>
    <w:rsid w:val="004C7386"/>
    <w:rsid w:val="004D00EE"/>
    <w:rsid w:val="004D0AC1"/>
    <w:rsid w:val="004D12CE"/>
    <w:rsid w:val="004D1AE3"/>
    <w:rsid w:val="004D2C52"/>
    <w:rsid w:val="004D2E4B"/>
    <w:rsid w:val="004D4029"/>
    <w:rsid w:val="004D4285"/>
    <w:rsid w:val="004D43B3"/>
    <w:rsid w:val="004D44B3"/>
    <w:rsid w:val="004D4A12"/>
    <w:rsid w:val="004D5961"/>
    <w:rsid w:val="004D74F5"/>
    <w:rsid w:val="004D782E"/>
    <w:rsid w:val="004E047F"/>
    <w:rsid w:val="004E12DB"/>
    <w:rsid w:val="004E2BFF"/>
    <w:rsid w:val="004E34AC"/>
    <w:rsid w:val="004E48BA"/>
    <w:rsid w:val="004E5794"/>
    <w:rsid w:val="004E7076"/>
    <w:rsid w:val="004E7346"/>
    <w:rsid w:val="004E73C2"/>
    <w:rsid w:val="004E79BF"/>
    <w:rsid w:val="004F146E"/>
    <w:rsid w:val="004F37F4"/>
    <w:rsid w:val="004F3D14"/>
    <w:rsid w:val="004F3F1A"/>
    <w:rsid w:val="004F4359"/>
    <w:rsid w:val="004F4896"/>
    <w:rsid w:val="004F4D16"/>
    <w:rsid w:val="004F5CA7"/>
    <w:rsid w:val="004F72D0"/>
    <w:rsid w:val="005015C4"/>
    <w:rsid w:val="00501766"/>
    <w:rsid w:val="00502ABE"/>
    <w:rsid w:val="00503A64"/>
    <w:rsid w:val="005046B0"/>
    <w:rsid w:val="00504D5A"/>
    <w:rsid w:val="00505229"/>
    <w:rsid w:val="00510777"/>
    <w:rsid w:val="00510E60"/>
    <w:rsid w:val="005117F1"/>
    <w:rsid w:val="00511877"/>
    <w:rsid w:val="005122C7"/>
    <w:rsid w:val="00512628"/>
    <w:rsid w:val="00512C9E"/>
    <w:rsid w:val="005135EE"/>
    <w:rsid w:val="00513A7F"/>
    <w:rsid w:val="00514DEE"/>
    <w:rsid w:val="00515FB8"/>
    <w:rsid w:val="0051686A"/>
    <w:rsid w:val="005175F5"/>
    <w:rsid w:val="00520FE2"/>
    <w:rsid w:val="00521971"/>
    <w:rsid w:val="00521D8D"/>
    <w:rsid w:val="00522AF7"/>
    <w:rsid w:val="00522B8B"/>
    <w:rsid w:val="005235D9"/>
    <w:rsid w:val="00523DA0"/>
    <w:rsid w:val="00525DAF"/>
    <w:rsid w:val="005264E2"/>
    <w:rsid w:val="005304E7"/>
    <w:rsid w:val="00531355"/>
    <w:rsid w:val="005313B4"/>
    <w:rsid w:val="00531516"/>
    <w:rsid w:val="00531DE2"/>
    <w:rsid w:val="00531F20"/>
    <w:rsid w:val="00532D7F"/>
    <w:rsid w:val="00533ACC"/>
    <w:rsid w:val="00534CEC"/>
    <w:rsid w:val="0053535C"/>
    <w:rsid w:val="0053545A"/>
    <w:rsid w:val="0053637C"/>
    <w:rsid w:val="00537248"/>
    <w:rsid w:val="00537BC3"/>
    <w:rsid w:val="005403F6"/>
    <w:rsid w:val="00540854"/>
    <w:rsid w:val="00540A0B"/>
    <w:rsid w:val="005415E1"/>
    <w:rsid w:val="00542306"/>
    <w:rsid w:val="00542AEF"/>
    <w:rsid w:val="00542C05"/>
    <w:rsid w:val="00542F7D"/>
    <w:rsid w:val="00545056"/>
    <w:rsid w:val="00545E30"/>
    <w:rsid w:val="00551BB8"/>
    <w:rsid w:val="00552278"/>
    <w:rsid w:val="005564FD"/>
    <w:rsid w:val="005567B0"/>
    <w:rsid w:val="005569CD"/>
    <w:rsid w:val="00556BDD"/>
    <w:rsid w:val="00557118"/>
    <w:rsid w:val="00557C61"/>
    <w:rsid w:val="00562016"/>
    <w:rsid w:val="005621ED"/>
    <w:rsid w:val="005653B1"/>
    <w:rsid w:val="00565D54"/>
    <w:rsid w:val="00566C37"/>
    <w:rsid w:val="0056732E"/>
    <w:rsid w:val="00570CEA"/>
    <w:rsid w:val="005716DA"/>
    <w:rsid w:val="0057191F"/>
    <w:rsid w:val="00572A58"/>
    <w:rsid w:val="00573534"/>
    <w:rsid w:val="00573C9C"/>
    <w:rsid w:val="005742B0"/>
    <w:rsid w:val="005744D2"/>
    <w:rsid w:val="00574FC9"/>
    <w:rsid w:val="00575438"/>
    <w:rsid w:val="0057552C"/>
    <w:rsid w:val="0058080E"/>
    <w:rsid w:val="00580E42"/>
    <w:rsid w:val="00580EEF"/>
    <w:rsid w:val="005813FF"/>
    <w:rsid w:val="00582C89"/>
    <w:rsid w:val="00582E58"/>
    <w:rsid w:val="0058349A"/>
    <w:rsid w:val="00583C7A"/>
    <w:rsid w:val="00584D82"/>
    <w:rsid w:val="005857A9"/>
    <w:rsid w:val="00590AC9"/>
    <w:rsid w:val="00592D25"/>
    <w:rsid w:val="00593183"/>
    <w:rsid w:val="00594B77"/>
    <w:rsid w:val="00595813"/>
    <w:rsid w:val="00596827"/>
    <w:rsid w:val="005A07EE"/>
    <w:rsid w:val="005A169E"/>
    <w:rsid w:val="005A19E5"/>
    <w:rsid w:val="005A1F1A"/>
    <w:rsid w:val="005A29A3"/>
    <w:rsid w:val="005A388F"/>
    <w:rsid w:val="005A427F"/>
    <w:rsid w:val="005A55B6"/>
    <w:rsid w:val="005A5738"/>
    <w:rsid w:val="005B06AD"/>
    <w:rsid w:val="005B2AB9"/>
    <w:rsid w:val="005B55A6"/>
    <w:rsid w:val="005B5CA6"/>
    <w:rsid w:val="005B5F75"/>
    <w:rsid w:val="005B6CA8"/>
    <w:rsid w:val="005B6EA9"/>
    <w:rsid w:val="005B70E6"/>
    <w:rsid w:val="005C0A60"/>
    <w:rsid w:val="005C0DF6"/>
    <w:rsid w:val="005C2888"/>
    <w:rsid w:val="005C299C"/>
    <w:rsid w:val="005C3274"/>
    <w:rsid w:val="005C3ADE"/>
    <w:rsid w:val="005C3EF5"/>
    <w:rsid w:val="005C4AB5"/>
    <w:rsid w:val="005C53BC"/>
    <w:rsid w:val="005D16F6"/>
    <w:rsid w:val="005D273E"/>
    <w:rsid w:val="005D2AC9"/>
    <w:rsid w:val="005D4025"/>
    <w:rsid w:val="005D4881"/>
    <w:rsid w:val="005D4CBF"/>
    <w:rsid w:val="005D4D8F"/>
    <w:rsid w:val="005D54C6"/>
    <w:rsid w:val="005D55E8"/>
    <w:rsid w:val="005D6680"/>
    <w:rsid w:val="005D705D"/>
    <w:rsid w:val="005D72C0"/>
    <w:rsid w:val="005D7ABA"/>
    <w:rsid w:val="005E08F6"/>
    <w:rsid w:val="005E18E4"/>
    <w:rsid w:val="005E2895"/>
    <w:rsid w:val="005E43AA"/>
    <w:rsid w:val="005E443B"/>
    <w:rsid w:val="005E4C25"/>
    <w:rsid w:val="005E5F2A"/>
    <w:rsid w:val="005E639E"/>
    <w:rsid w:val="005F0595"/>
    <w:rsid w:val="005F0B10"/>
    <w:rsid w:val="005F1E4F"/>
    <w:rsid w:val="005F386A"/>
    <w:rsid w:val="005F4024"/>
    <w:rsid w:val="005F5FAE"/>
    <w:rsid w:val="00600656"/>
    <w:rsid w:val="0060066E"/>
    <w:rsid w:val="00600E57"/>
    <w:rsid w:val="006013D7"/>
    <w:rsid w:val="006018F2"/>
    <w:rsid w:val="00602235"/>
    <w:rsid w:val="00604281"/>
    <w:rsid w:val="00604A4A"/>
    <w:rsid w:val="0060620C"/>
    <w:rsid w:val="006064A9"/>
    <w:rsid w:val="00607C48"/>
    <w:rsid w:val="006101C3"/>
    <w:rsid w:val="00610E0A"/>
    <w:rsid w:val="00611BC9"/>
    <w:rsid w:val="00614256"/>
    <w:rsid w:val="006148A6"/>
    <w:rsid w:val="006200BE"/>
    <w:rsid w:val="00620555"/>
    <w:rsid w:val="006213F6"/>
    <w:rsid w:val="006227F9"/>
    <w:rsid w:val="00623520"/>
    <w:rsid w:val="00623CF7"/>
    <w:rsid w:val="006243DB"/>
    <w:rsid w:val="0062459B"/>
    <w:rsid w:val="00624617"/>
    <w:rsid w:val="006250E8"/>
    <w:rsid w:val="00625E43"/>
    <w:rsid w:val="00626FA1"/>
    <w:rsid w:val="006310DA"/>
    <w:rsid w:val="00631649"/>
    <w:rsid w:val="00632DD0"/>
    <w:rsid w:val="00632DFF"/>
    <w:rsid w:val="006339AA"/>
    <w:rsid w:val="00635FA5"/>
    <w:rsid w:val="00636156"/>
    <w:rsid w:val="006361E2"/>
    <w:rsid w:val="006367F4"/>
    <w:rsid w:val="00636974"/>
    <w:rsid w:val="00637907"/>
    <w:rsid w:val="00640855"/>
    <w:rsid w:val="0064095D"/>
    <w:rsid w:val="00640F2F"/>
    <w:rsid w:val="006416FA"/>
    <w:rsid w:val="00641922"/>
    <w:rsid w:val="0064492B"/>
    <w:rsid w:val="00644F71"/>
    <w:rsid w:val="006459D3"/>
    <w:rsid w:val="00646919"/>
    <w:rsid w:val="006478AD"/>
    <w:rsid w:val="00647DD4"/>
    <w:rsid w:val="0065073A"/>
    <w:rsid w:val="00651411"/>
    <w:rsid w:val="006514A2"/>
    <w:rsid w:val="006518B2"/>
    <w:rsid w:val="00651AE7"/>
    <w:rsid w:val="0065304D"/>
    <w:rsid w:val="00653498"/>
    <w:rsid w:val="006534F0"/>
    <w:rsid w:val="006545BE"/>
    <w:rsid w:val="00654FF7"/>
    <w:rsid w:val="006553C4"/>
    <w:rsid w:val="00655F00"/>
    <w:rsid w:val="006568D0"/>
    <w:rsid w:val="00656FE4"/>
    <w:rsid w:val="00657359"/>
    <w:rsid w:val="00657920"/>
    <w:rsid w:val="00657C97"/>
    <w:rsid w:val="00657F9C"/>
    <w:rsid w:val="00660930"/>
    <w:rsid w:val="00660CCC"/>
    <w:rsid w:val="00661918"/>
    <w:rsid w:val="00661D86"/>
    <w:rsid w:val="00662424"/>
    <w:rsid w:val="00662731"/>
    <w:rsid w:val="00662E2B"/>
    <w:rsid w:val="006637BB"/>
    <w:rsid w:val="006641A9"/>
    <w:rsid w:val="00664ED5"/>
    <w:rsid w:val="0066547B"/>
    <w:rsid w:val="00665CBB"/>
    <w:rsid w:val="00666C22"/>
    <w:rsid w:val="00666D03"/>
    <w:rsid w:val="006670B0"/>
    <w:rsid w:val="00667795"/>
    <w:rsid w:val="00667CCB"/>
    <w:rsid w:val="00671877"/>
    <w:rsid w:val="00672213"/>
    <w:rsid w:val="00673E23"/>
    <w:rsid w:val="0067418F"/>
    <w:rsid w:val="00674AA1"/>
    <w:rsid w:val="006754DB"/>
    <w:rsid w:val="00675620"/>
    <w:rsid w:val="0067609A"/>
    <w:rsid w:val="00676E9D"/>
    <w:rsid w:val="00677A9D"/>
    <w:rsid w:val="006815F0"/>
    <w:rsid w:val="00682B1A"/>
    <w:rsid w:val="006832A2"/>
    <w:rsid w:val="00683394"/>
    <w:rsid w:val="006834F6"/>
    <w:rsid w:val="00685AE9"/>
    <w:rsid w:val="0068629F"/>
    <w:rsid w:val="00686E6F"/>
    <w:rsid w:val="00686F0E"/>
    <w:rsid w:val="0069007B"/>
    <w:rsid w:val="006911C0"/>
    <w:rsid w:val="006911EE"/>
    <w:rsid w:val="00693491"/>
    <w:rsid w:val="00693CA7"/>
    <w:rsid w:val="00696598"/>
    <w:rsid w:val="00697556"/>
    <w:rsid w:val="006A0624"/>
    <w:rsid w:val="006A07C6"/>
    <w:rsid w:val="006A15AD"/>
    <w:rsid w:val="006A38CF"/>
    <w:rsid w:val="006A3BD7"/>
    <w:rsid w:val="006A683A"/>
    <w:rsid w:val="006A796B"/>
    <w:rsid w:val="006A7E54"/>
    <w:rsid w:val="006B0BCA"/>
    <w:rsid w:val="006B0D00"/>
    <w:rsid w:val="006B17F7"/>
    <w:rsid w:val="006B20B6"/>
    <w:rsid w:val="006B2C10"/>
    <w:rsid w:val="006B40ED"/>
    <w:rsid w:val="006B47E8"/>
    <w:rsid w:val="006B5670"/>
    <w:rsid w:val="006C0F36"/>
    <w:rsid w:val="006C1100"/>
    <w:rsid w:val="006C2136"/>
    <w:rsid w:val="006C2181"/>
    <w:rsid w:val="006C2848"/>
    <w:rsid w:val="006C34DE"/>
    <w:rsid w:val="006C4C73"/>
    <w:rsid w:val="006C5D6E"/>
    <w:rsid w:val="006C707F"/>
    <w:rsid w:val="006C7565"/>
    <w:rsid w:val="006D302C"/>
    <w:rsid w:val="006D3591"/>
    <w:rsid w:val="006D380E"/>
    <w:rsid w:val="006D3BFA"/>
    <w:rsid w:val="006D474A"/>
    <w:rsid w:val="006D501B"/>
    <w:rsid w:val="006D79F1"/>
    <w:rsid w:val="006D7B28"/>
    <w:rsid w:val="006D7D01"/>
    <w:rsid w:val="006E0307"/>
    <w:rsid w:val="006E0B2C"/>
    <w:rsid w:val="006E0DA6"/>
    <w:rsid w:val="006E1B08"/>
    <w:rsid w:val="006E1B19"/>
    <w:rsid w:val="006E1FCC"/>
    <w:rsid w:val="006E2C46"/>
    <w:rsid w:val="006E3007"/>
    <w:rsid w:val="006E400F"/>
    <w:rsid w:val="006E431D"/>
    <w:rsid w:val="006E4759"/>
    <w:rsid w:val="006E47B0"/>
    <w:rsid w:val="006E61F7"/>
    <w:rsid w:val="006E7404"/>
    <w:rsid w:val="006E74F0"/>
    <w:rsid w:val="006E759C"/>
    <w:rsid w:val="006E7A30"/>
    <w:rsid w:val="006F1B25"/>
    <w:rsid w:val="006F4C62"/>
    <w:rsid w:val="006F5224"/>
    <w:rsid w:val="006F5536"/>
    <w:rsid w:val="006F5713"/>
    <w:rsid w:val="006F604D"/>
    <w:rsid w:val="006F6716"/>
    <w:rsid w:val="006F6892"/>
    <w:rsid w:val="007009C4"/>
    <w:rsid w:val="007017BF"/>
    <w:rsid w:val="00703F4A"/>
    <w:rsid w:val="00704199"/>
    <w:rsid w:val="00704A8F"/>
    <w:rsid w:val="00704ED8"/>
    <w:rsid w:val="00705D9D"/>
    <w:rsid w:val="0070601B"/>
    <w:rsid w:val="0070626A"/>
    <w:rsid w:val="0070672D"/>
    <w:rsid w:val="00707109"/>
    <w:rsid w:val="00710045"/>
    <w:rsid w:val="007100D8"/>
    <w:rsid w:val="007102C9"/>
    <w:rsid w:val="007125E4"/>
    <w:rsid w:val="00712BB2"/>
    <w:rsid w:val="0071360C"/>
    <w:rsid w:val="00713D79"/>
    <w:rsid w:val="007157F1"/>
    <w:rsid w:val="00715B5F"/>
    <w:rsid w:val="00717417"/>
    <w:rsid w:val="007219B7"/>
    <w:rsid w:val="00723EE6"/>
    <w:rsid w:val="0072536F"/>
    <w:rsid w:val="00726320"/>
    <w:rsid w:val="007272AB"/>
    <w:rsid w:val="007279D2"/>
    <w:rsid w:val="0073113E"/>
    <w:rsid w:val="00731632"/>
    <w:rsid w:val="00731C96"/>
    <w:rsid w:val="00733242"/>
    <w:rsid w:val="00735293"/>
    <w:rsid w:val="00737CEB"/>
    <w:rsid w:val="007402C1"/>
    <w:rsid w:val="007406B7"/>
    <w:rsid w:val="00741724"/>
    <w:rsid w:val="00742035"/>
    <w:rsid w:val="0074320B"/>
    <w:rsid w:val="00743814"/>
    <w:rsid w:val="00744DE0"/>
    <w:rsid w:val="0074640C"/>
    <w:rsid w:val="00746689"/>
    <w:rsid w:val="00746955"/>
    <w:rsid w:val="007476B4"/>
    <w:rsid w:val="007506C7"/>
    <w:rsid w:val="00750AC8"/>
    <w:rsid w:val="00751A66"/>
    <w:rsid w:val="00752528"/>
    <w:rsid w:val="00752F9F"/>
    <w:rsid w:val="00753BEF"/>
    <w:rsid w:val="00753DAA"/>
    <w:rsid w:val="00754BDF"/>
    <w:rsid w:val="007563E9"/>
    <w:rsid w:val="00756BD4"/>
    <w:rsid w:val="00757276"/>
    <w:rsid w:val="00757662"/>
    <w:rsid w:val="007601B4"/>
    <w:rsid w:val="00762398"/>
    <w:rsid w:val="00762643"/>
    <w:rsid w:val="0076348F"/>
    <w:rsid w:val="00764D16"/>
    <w:rsid w:val="00764F4F"/>
    <w:rsid w:val="007651A1"/>
    <w:rsid w:val="00765A88"/>
    <w:rsid w:val="007661DF"/>
    <w:rsid w:val="007667B0"/>
    <w:rsid w:val="007671A7"/>
    <w:rsid w:val="00767213"/>
    <w:rsid w:val="007679F2"/>
    <w:rsid w:val="00770CBC"/>
    <w:rsid w:val="0077148C"/>
    <w:rsid w:val="00771701"/>
    <w:rsid w:val="007722E5"/>
    <w:rsid w:val="00773CA7"/>
    <w:rsid w:val="00774245"/>
    <w:rsid w:val="00774704"/>
    <w:rsid w:val="007761BE"/>
    <w:rsid w:val="00776C40"/>
    <w:rsid w:val="007775F5"/>
    <w:rsid w:val="0078019C"/>
    <w:rsid w:val="00780AF1"/>
    <w:rsid w:val="007819F3"/>
    <w:rsid w:val="007839D1"/>
    <w:rsid w:val="00783ED0"/>
    <w:rsid w:val="007860AC"/>
    <w:rsid w:val="0078654C"/>
    <w:rsid w:val="007870B0"/>
    <w:rsid w:val="0079215D"/>
    <w:rsid w:val="00792D7E"/>
    <w:rsid w:val="007932A5"/>
    <w:rsid w:val="007941FB"/>
    <w:rsid w:val="0079588D"/>
    <w:rsid w:val="007967F4"/>
    <w:rsid w:val="00797AA6"/>
    <w:rsid w:val="007A1179"/>
    <w:rsid w:val="007A26EB"/>
    <w:rsid w:val="007A2707"/>
    <w:rsid w:val="007A2F5C"/>
    <w:rsid w:val="007A31D0"/>
    <w:rsid w:val="007A3656"/>
    <w:rsid w:val="007A380D"/>
    <w:rsid w:val="007A4457"/>
    <w:rsid w:val="007A5B75"/>
    <w:rsid w:val="007A623C"/>
    <w:rsid w:val="007A6541"/>
    <w:rsid w:val="007A7789"/>
    <w:rsid w:val="007B019B"/>
    <w:rsid w:val="007B0D48"/>
    <w:rsid w:val="007B11AA"/>
    <w:rsid w:val="007B1536"/>
    <w:rsid w:val="007B6C08"/>
    <w:rsid w:val="007B7C23"/>
    <w:rsid w:val="007C2B3B"/>
    <w:rsid w:val="007C3CFF"/>
    <w:rsid w:val="007C3EF9"/>
    <w:rsid w:val="007C4882"/>
    <w:rsid w:val="007C4FA7"/>
    <w:rsid w:val="007C5471"/>
    <w:rsid w:val="007C556F"/>
    <w:rsid w:val="007C5833"/>
    <w:rsid w:val="007C7382"/>
    <w:rsid w:val="007C7D5E"/>
    <w:rsid w:val="007C7F7D"/>
    <w:rsid w:val="007D0781"/>
    <w:rsid w:val="007D10C5"/>
    <w:rsid w:val="007D169E"/>
    <w:rsid w:val="007D1EBC"/>
    <w:rsid w:val="007D2027"/>
    <w:rsid w:val="007D2690"/>
    <w:rsid w:val="007D2803"/>
    <w:rsid w:val="007D29FA"/>
    <w:rsid w:val="007D2F91"/>
    <w:rsid w:val="007D4CCD"/>
    <w:rsid w:val="007D53AA"/>
    <w:rsid w:val="007D7B42"/>
    <w:rsid w:val="007E0B1D"/>
    <w:rsid w:val="007E13D6"/>
    <w:rsid w:val="007E1970"/>
    <w:rsid w:val="007E4AC3"/>
    <w:rsid w:val="007E4E81"/>
    <w:rsid w:val="007E54A9"/>
    <w:rsid w:val="007E637B"/>
    <w:rsid w:val="007F120A"/>
    <w:rsid w:val="007F12B1"/>
    <w:rsid w:val="007F1B77"/>
    <w:rsid w:val="007F1EF0"/>
    <w:rsid w:val="007F2377"/>
    <w:rsid w:val="007F2479"/>
    <w:rsid w:val="007F3DEF"/>
    <w:rsid w:val="007F5FC6"/>
    <w:rsid w:val="007F7321"/>
    <w:rsid w:val="007F79EC"/>
    <w:rsid w:val="007F7AC8"/>
    <w:rsid w:val="007F7F6A"/>
    <w:rsid w:val="00800EAF"/>
    <w:rsid w:val="00803A5B"/>
    <w:rsid w:val="00803C3C"/>
    <w:rsid w:val="00804450"/>
    <w:rsid w:val="00805780"/>
    <w:rsid w:val="00806781"/>
    <w:rsid w:val="00810849"/>
    <w:rsid w:val="00810A91"/>
    <w:rsid w:val="008115D6"/>
    <w:rsid w:val="008120D2"/>
    <w:rsid w:val="008135E6"/>
    <w:rsid w:val="00813C1B"/>
    <w:rsid w:val="00813ECD"/>
    <w:rsid w:val="00814304"/>
    <w:rsid w:val="00814FBF"/>
    <w:rsid w:val="00816303"/>
    <w:rsid w:val="00816B2E"/>
    <w:rsid w:val="00817149"/>
    <w:rsid w:val="00817C55"/>
    <w:rsid w:val="00817E10"/>
    <w:rsid w:val="00820497"/>
    <w:rsid w:val="00820725"/>
    <w:rsid w:val="00821670"/>
    <w:rsid w:val="0082397A"/>
    <w:rsid w:val="00823D35"/>
    <w:rsid w:val="008248E4"/>
    <w:rsid w:val="00824AD7"/>
    <w:rsid w:val="00824B1D"/>
    <w:rsid w:val="008265D5"/>
    <w:rsid w:val="0082660F"/>
    <w:rsid w:val="008278D8"/>
    <w:rsid w:val="00830B7F"/>
    <w:rsid w:val="0083142F"/>
    <w:rsid w:val="00831743"/>
    <w:rsid w:val="00831FC9"/>
    <w:rsid w:val="0083216C"/>
    <w:rsid w:val="00832AB4"/>
    <w:rsid w:val="00832C48"/>
    <w:rsid w:val="00832E41"/>
    <w:rsid w:val="0083302E"/>
    <w:rsid w:val="00833859"/>
    <w:rsid w:val="00834018"/>
    <w:rsid w:val="00834739"/>
    <w:rsid w:val="008352AC"/>
    <w:rsid w:val="00835806"/>
    <w:rsid w:val="008358D7"/>
    <w:rsid w:val="00837725"/>
    <w:rsid w:val="0084031C"/>
    <w:rsid w:val="008411A8"/>
    <w:rsid w:val="00842BF5"/>
    <w:rsid w:val="008433E1"/>
    <w:rsid w:val="0084341B"/>
    <w:rsid w:val="00843EFC"/>
    <w:rsid w:val="00846EB9"/>
    <w:rsid w:val="0084767C"/>
    <w:rsid w:val="008477A3"/>
    <w:rsid w:val="00847BF7"/>
    <w:rsid w:val="00852C92"/>
    <w:rsid w:val="00855049"/>
    <w:rsid w:val="0085554A"/>
    <w:rsid w:val="00856081"/>
    <w:rsid w:val="008567A4"/>
    <w:rsid w:val="00856A86"/>
    <w:rsid w:val="008571FF"/>
    <w:rsid w:val="008603E1"/>
    <w:rsid w:val="00862645"/>
    <w:rsid w:val="00862A7C"/>
    <w:rsid w:val="00863AA3"/>
    <w:rsid w:val="00864209"/>
    <w:rsid w:val="00864A96"/>
    <w:rsid w:val="008651BC"/>
    <w:rsid w:val="008655FC"/>
    <w:rsid w:val="00865BCD"/>
    <w:rsid w:val="00867D1A"/>
    <w:rsid w:val="00871384"/>
    <w:rsid w:val="0087297F"/>
    <w:rsid w:val="00873751"/>
    <w:rsid w:val="008743CF"/>
    <w:rsid w:val="00875219"/>
    <w:rsid w:val="00875827"/>
    <w:rsid w:val="00876564"/>
    <w:rsid w:val="00876D3B"/>
    <w:rsid w:val="008806AB"/>
    <w:rsid w:val="00880C90"/>
    <w:rsid w:val="00881490"/>
    <w:rsid w:val="00881FD7"/>
    <w:rsid w:val="00885532"/>
    <w:rsid w:val="0088556C"/>
    <w:rsid w:val="00885E42"/>
    <w:rsid w:val="008865C5"/>
    <w:rsid w:val="00887B70"/>
    <w:rsid w:val="008908C4"/>
    <w:rsid w:val="00890D6F"/>
    <w:rsid w:val="00891CA1"/>
    <w:rsid w:val="00891D58"/>
    <w:rsid w:val="00892755"/>
    <w:rsid w:val="00892EE8"/>
    <w:rsid w:val="008940B2"/>
    <w:rsid w:val="00895795"/>
    <w:rsid w:val="00895BB4"/>
    <w:rsid w:val="00895E78"/>
    <w:rsid w:val="008962DF"/>
    <w:rsid w:val="008971B0"/>
    <w:rsid w:val="008A0FEB"/>
    <w:rsid w:val="008A28EE"/>
    <w:rsid w:val="008A2918"/>
    <w:rsid w:val="008A4156"/>
    <w:rsid w:val="008A5995"/>
    <w:rsid w:val="008A6453"/>
    <w:rsid w:val="008B0BB2"/>
    <w:rsid w:val="008B1A93"/>
    <w:rsid w:val="008B2DB3"/>
    <w:rsid w:val="008B65C6"/>
    <w:rsid w:val="008B6F4A"/>
    <w:rsid w:val="008B7BA1"/>
    <w:rsid w:val="008C1226"/>
    <w:rsid w:val="008C1E03"/>
    <w:rsid w:val="008C2DEA"/>
    <w:rsid w:val="008C3780"/>
    <w:rsid w:val="008C3C03"/>
    <w:rsid w:val="008C45F3"/>
    <w:rsid w:val="008C7C21"/>
    <w:rsid w:val="008D0287"/>
    <w:rsid w:val="008D0592"/>
    <w:rsid w:val="008D0999"/>
    <w:rsid w:val="008D09A4"/>
    <w:rsid w:val="008D21D4"/>
    <w:rsid w:val="008D3CCA"/>
    <w:rsid w:val="008D3EB3"/>
    <w:rsid w:val="008D3F91"/>
    <w:rsid w:val="008D42B5"/>
    <w:rsid w:val="008D5E29"/>
    <w:rsid w:val="008D5F31"/>
    <w:rsid w:val="008D620E"/>
    <w:rsid w:val="008D6714"/>
    <w:rsid w:val="008D6D85"/>
    <w:rsid w:val="008D748B"/>
    <w:rsid w:val="008E06D9"/>
    <w:rsid w:val="008E186A"/>
    <w:rsid w:val="008E2FC1"/>
    <w:rsid w:val="008E3582"/>
    <w:rsid w:val="008E3A9E"/>
    <w:rsid w:val="008E4141"/>
    <w:rsid w:val="008E5DF8"/>
    <w:rsid w:val="008E60AC"/>
    <w:rsid w:val="008E6203"/>
    <w:rsid w:val="008E6ECA"/>
    <w:rsid w:val="008E6FD9"/>
    <w:rsid w:val="008E746C"/>
    <w:rsid w:val="008E7869"/>
    <w:rsid w:val="008E7CD1"/>
    <w:rsid w:val="008F0A27"/>
    <w:rsid w:val="008F3C0B"/>
    <w:rsid w:val="008F4202"/>
    <w:rsid w:val="008F42D0"/>
    <w:rsid w:val="008F518E"/>
    <w:rsid w:val="008F5B8F"/>
    <w:rsid w:val="008F5D18"/>
    <w:rsid w:val="008F6221"/>
    <w:rsid w:val="008F6EFF"/>
    <w:rsid w:val="008F749A"/>
    <w:rsid w:val="008F7709"/>
    <w:rsid w:val="008F7CCA"/>
    <w:rsid w:val="00900993"/>
    <w:rsid w:val="00900EAD"/>
    <w:rsid w:val="0090137F"/>
    <w:rsid w:val="0090224B"/>
    <w:rsid w:val="00903ABA"/>
    <w:rsid w:val="0090429D"/>
    <w:rsid w:val="00904DC8"/>
    <w:rsid w:val="00905292"/>
    <w:rsid w:val="009054C7"/>
    <w:rsid w:val="009058DE"/>
    <w:rsid w:val="00905CB5"/>
    <w:rsid w:val="009065D0"/>
    <w:rsid w:val="00906E65"/>
    <w:rsid w:val="0090704B"/>
    <w:rsid w:val="009073C8"/>
    <w:rsid w:val="00910A7B"/>
    <w:rsid w:val="00911679"/>
    <w:rsid w:val="009130D4"/>
    <w:rsid w:val="00913E59"/>
    <w:rsid w:val="009144A7"/>
    <w:rsid w:val="00914509"/>
    <w:rsid w:val="00915168"/>
    <w:rsid w:val="00916B8D"/>
    <w:rsid w:val="0091712E"/>
    <w:rsid w:val="00917A34"/>
    <w:rsid w:val="00920D8B"/>
    <w:rsid w:val="00921B25"/>
    <w:rsid w:val="009239DC"/>
    <w:rsid w:val="00923C3D"/>
    <w:rsid w:val="00923E72"/>
    <w:rsid w:val="00924896"/>
    <w:rsid w:val="00924F64"/>
    <w:rsid w:val="00925761"/>
    <w:rsid w:val="00925A48"/>
    <w:rsid w:val="009268ED"/>
    <w:rsid w:val="009269B3"/>
    <w:rsid w:val="00930107"/>
    <w:rsid w:val="00931795"/>
    <w:rsid w:val="009335AD"/>
    <w:rsid w:val="00934FA6"/>
    <w:rsid w:val="00935813"/>
    <w:rsid w:val="00935AC3"/>
    <w:rsid w:val="00940DF6"/>
    <w:rsid w:val="0094137F"/>
    <w:rsid w:val="00941590"/>
    <w:rsid w:val="00941879"/>
    <w:rsid w:val="009419A1"/>
    <w:rsid w:val="00941FBE"/>
    <w:rsid w:val="00943F43"/>
    <w:rsid w:val="009450AB"/>
    <w:rsid w:val="00945183"/>
    <w:rsid w:val="0094533D"/>
    <w:rsid w:val="00945662"/>
    <w:rsid w:val="00945B69"/>
    <w:rsid w:val="009479F3"/>
    <w:rsid w:val="00947FC1"/>
    <w:rsid w:val="00950B29"/>
    <w:rsid w:val="0095129A"/>
    <w:rsid w:val="00951362"/>
    <w:rsid w:val="009516B5"/>
    <w:rsid w:val="00952714"/>
    <w:rsid w:val="00952EA6"/>
    <w:rsid w:val="00953643"/>
    <w:rsid w:val="009547E5"/>
    <w:rsid w:val="009555BD"/>
    <w:rsid w:val="00955CD3"/>
    <w:rsid w:val="00956160"/>
    <w:rsid w:val="00957438"/>
    <w:rsid w:val="00960E53"/>
    <w:rsid w:val="0096101F"/>
    <w:rsid w:val="00961181"/>
    <w:rsid w:val="0096195B"/>
    <w:rsid w:val="0096297D"/>
    <w:rsid w:val="00963019"/>
    <w:rsid w:val="009634DA"/>
    <w:rsid w:val="009635C3"/>
    <w:rsid w:val="00964021"/>
    <w:rsid w:val="009658E8"/>
    <w:rsid w:val="009662FF"/>
    <w:rsid w:val="009668D8"/>
    <w:rsid w:val="00966C7A"/>
    <w:rsid w:val="00970356"/>
    <w:rsid w:val="0097137A"/>
    <w:rsid w:val="00971BC4"/>
    <w:rsid w:val="009726AB"/>
    <w:rsid w:val="00972A70"/>
    <w:rsid w:val="00973D43"/>
    <w:rsid w:val="0097520C"/>
    <w:rsid w:val="009752D8"/>
    <w:rsid w:val="009752FD"/>
    <w:rsid w:val="00975609"/>
    <w:rsid w:val="00976834"/>
    <w:rsid w:val="009804AF"/>
    <w:rsid w:val="009812DC"/>
    <w:rsid w:val="009814AA"/>
    <w:rsid w:val="00982073"/>
    <w:rsid w:val="00983298"/>
    <w:rsid w:val="00984E32"/>
    <w:rsid w:val="00986560"/>
    <w:rsid w:val="00990680"/>
    <w:rsid w:val="009921D0"/>
    <w:rsid w:val="009927F2"/>
    <w:rsid w:val="00993DAD"/>
    <w:rsid w:val="00994385"/>
    <w:rsid w:val="009943AD"/>
    <w:rsid w:val="009953C0"/>
    <w:rsid w:val="00997438"/>
    <w:rsid w:val="009977C6"/>
    <w:rsid w:val="00997A18"/>
    <w:rsid w:val="009A065C"/>
    <w:rsid w:val="009A0985"/>
    <w:rsid w:val="009A1E7E"/>
    <w:rsid w:val="009A24EB"/>
    <w:rsid w:val="009A3083"/>
    <w:rsid w:val="009A449C"/>
    <w:rsid w:val="009A603E"/>
    <w:rsid w:val="009A6205"/>
    <w:rsid w:val="009A66BE"/>
    <w:rsid w:val="009A6C36"/>
    <w:rsid w:val="009B2836"/>
    <w:rsid w:val="009B3BA8"/>
    <w:rsid w:val="009B53B1"/>
    <w:rsid w:val="009B53E7"/>
    <w:rsid w:val="009B5BA9"/>
    <w:rsid w:val="009B5EA6"/>
    <w:rsid w:val="009B626D"/>
    <w:rsid w:val="009B742F"/>
    <w:rsid w:val="009B787A"/>
    <w:rsid w:val="009C0847"/>
    <w:rsid w:val="009C0905"/>
    <w:rsid w:val="009C1404"/>
    <w:rsid w:val="009C1F3C"/>
    <w:rsid w:val="009C474B"/>
    <w:rsid w:val="009C68A0"/>
    <w:rsid w:val="009C70DB"/>
    <w:rsid w:val="009C71B7"/>
    <w:rsid w:val="009C7DDF"/>
    <w:rsid w:val="009D0D2D"/>
    <w:rsid w:val="009D4518"/>
    <w:rsid w:val="009D5DBA"/>
    <w:rsid w:val="009D5E40"/>
    <w:rsid w:val="009E0043"/>
    <w:rsid w:val="009E0BDD"/>
    <w:rsid w:val="009E0FCA"/>
    <w:rsid w:val="009E3E7A"/>
    <w:rsid w:val="009E4BEA"/>
    <w:rsid w:val="009E5213"/>
    <w:rsid w:val="009E6A0D"/>
    <w:rsid w:val="009E7A98"/>
    <w:rsid w:val="009E7B96"/>
    <w:rsid w:val="009F0440"/>
    <w:rsid w:val="009F0724"/>
    <w:rsid w:val="009F0773"/>
    <w:rsid w:val="009F0D2E"/>
    <w:rsid w:val="009F0DBA"/>
    <w:rsid w:val="009F2237"/>
    <w:rsid w:val="009F23E2"/>
    <w:rsid w:val="009F3544"/>
    <w:rsid w:val="009F5094"/>
    <w:rsid w:val="009F58C7"/>
    <w:rsid w:val="009F7BA9"/>
    <w:rsid w:val="00A0054B"/>
    <w:rsid w:val="00A00BC9"/>
    <w:rsid w:val="00A00DA2"/>
    <w:rsid w:val="00A01442"/>
    <w:rsid w:val="00A01E87"/>
    <w:rsid w:val="00A01F75"/>
    <w:rsid w:val="00A0283A"/>
    <w:rsid w:val="00A03670"/>
    <w:rsid w:val="00A0451D"/>
    <w:rsid w:val="00A05E7A"/>
    <w:rsid w:val="00A07E44"/>
    <w:rsid w:val="00A10679"/>
    <w:rsid w:val="00A1151F"/>
    <w:rsid w:val="00A11ED1"/>
    <w:rsid w:val="00A124F1"/>
    <w:rsid w:val="00A12DB3"/>
    <w:rsid w:val="00A12E98"/>
    <w:rsid w:val="00A13D8C"/>
    <w:rsid w:val="00A15411"/>
    <w:rsid w:val="00A164C0"/>
    <w:rsid w:val="00A20150"/>
    <w:rsid w:val="00A2046C"/>
    <w:rsid w:val="00A20927"/>
    <w:rsid w:val="00A20D5F"/>
    <w:rsid w:val="00A222A0"/>
    <w:rsid w:val="00A22A45"/>
    <w:rsid w:val="00A22B83"/>
    <w:rsid w:val="00A24A8F"/>
    <w:rsid w:val="00A24DB3"/>
    <w:rsid w:val="00A25728"/>
    <w:rsid w:val="00A26A3F"/>
    <w:rsid w:val="00A27605"/>
    <w:rsid w:val="00A278CA"/>
    <w:rsid w:val="00A27CCC"/>
    <w:rsid w:val="00A27F6B"/>
    <w:rsid w:val="00A300ED"/>
    <w:rsid w:val="00A30E39"/>
    <w:rsid w:val="00A31F7A"/>
    <w:rsid w:val="00A323AF"/>
    <w:rsid w:val="00A336BA"/>
    <w:rsid w:val="00A34991"/>
    <w:rsid w:val="00A34C9A"/>
    <w:rsid w:val="00A37060"/>
    <w:rsid w:val="00A37D68"/>
    <w:rsid w:val="00A417C8"/>
    <w:rsid w:val="00A42594"/>
    <w:rsid w:val="00A425C6"/>
    <w:rsid w:val="00A428D3"/>
    <w:rsid w:val="00A43183"/>
    <w:rsid w:val="00A431C1"/>
    <w:rsid w:val="00A4333F"/>
    <w:rsid w:val="00A43E7D"/>
    <w:rsid w:val="00A44DDF"/>
    <w:rsid w:val="00A50ABC"/>
    <w:rsid w:val="00A517F7"/>
    <w:rsid w:val="00A54044"/>
    <w:rsid w:val="00A5450E"/>
    <w:rsid w:val="00A551A2"/>
    <w:rsid w:val="00A57B8C"/>
    <w:rsid w:val="00A60644"/>
    <w:rsid w:val="00A61439"/>
    <w:rsid w:val="00A61872"/>
    <w:rsid w:val="00A62792"/>
    <w:rsid w:val="00A6335D"/>
    <w:rsid w:val="00A63498"/>
    <w:rsid w:val="00A63587"/>
    <w:rsid w:val="00A63853"/>
    <w:rsid w:val="00A648D7"/>
    <w:rsid w:val="00A648EE"/>
    <w:rsid w:val="00A64CDD"/>
    <w:rsid w:val="00A65A0E"/>
    <w:rsid w:val="00A664DE"/>
    <w:rsid w:val="00A66540"/>
    <w:rsid w:val="00A669D3"/>
    <w:rsid w:val="00A711CD"/>
    <w:rsid w:val="00A71240"/>
    <w:rsid w:val="00A72AF1"/>
    <w:rsid w:val="00A73CDC"/>
    <w:rsid w:val="00A741EE"/>
    <w:rsid w:val="00A7597C"/>
    <w:rsid w:val="00A7762A"/>
    <w:rsid w:val="00A8024D"/>
    <w:rsid w:val="00A80F48"/>
    <w:rsid w:val="00A81A16"/>
    <w:rsid w:val="00A82194"/>
    <w:rsid w:val="00A8238C"/>
    <w:rsid w:val="00A83A46"/>
    <w:rsid w:val="00A83BBA"/>
    <w:rsid w:val="00A84004"/>
    <w:rsid w:val="00A84449"/>
    <w:rsid w:val="00A84B6B"/>
    <w:rsid w:val="00A86467"/>
    <w:rsid w:val="00A86A24"/>
    <w:rsid w:val="00A86B48"/>
    <w:rsid w:val="00A86E44"/>
    <w:rsid w:val="00A87040"/>
    <w:rsid w:val="00A8773C"/>
    <w:rsid w:val="00A911F7"/>
    <w:rsid w:val="00A920D8"/>
    <w:rsid w:val="00A92D1C"/>
    <w:rsid w:val="00A92E85"/>
    <w:rsid w:val="00A93833"/>
    <w:rsid w:val="00A93BB0"/>
    <w:rsid w:val="00A94CC4"/>
    <w:rsid w:val="00A94FF5"/>
    <w:rsid w:val="00A9554F"/>
    <w:rsid w:val="00A955A8"/>
    <w:rsid w:val="00A9646C"/>
    <w:rsid w:val="00A96A61"/>
    <w:rsid w:val="00A96AE6"/>
    <w:rsid w:val="00A97B10"/>
    <w:rsid w:val="00A97CA6"/>
    <w:rsid w:val="00AA0165"/>
    <w:rsid w:val="00AA1B14"/>
    <w:rsid w:val="00AA3376"/>
    <w:rsid w:val="00AA3484"/>
    <w:rsid w:val="00AA523F"/>
    <w:rsid w:val="00AA5358"/>
    <w:rsid w:val="00AB44DD"/>
    <w:rsid w:val="00AB4EC9"/>
    <w:rsid w:val="00AB5508"/>
    <w:rsid w:val="00AB584E"/>
    <w:rsid w:val="00AB5DD8"/>
    <w:rsid w:val="00AC042B"/>
    <w:rsid w:val="00AC05CD"/>
    <w:rsid w:val="00AC0E70"/>
    <w:rsid w:val="00AC1CA2"/>
    <w:rsid w:val="00AC1D6B"/>
    <w:rsid w:val="00AC29E7"/>
    <w:rsid w:val="00AC473D"/>
    <w:rsid w:val="00AD06EC"/>
    <w:rsid w:val="00AD07B6"/>
    <w:rsid w:val="00AD141B"/>
    <w:rsid w:val="00AD3FC8"/>
    <w:rsid w:val="00AD41FA"/>
    <w:rsid w:val="00AD46D4"/>
    <w:rsid w:val="00AD4AA3"/>
    <w:rsid w:val="00AD4D85"/>
    <w:rsid w:val="00AD7FDF"/>
    <w:rsid w:val="00AE18CB"/>
    <w:rsid w:val="00AE20AB"/>
    <w:rsid w:val="00AE2C0F"/>
    <w:rsid w:val="00AE3AB0"/>
    <w:rsid w:val="00AE4AA1"/>
    <w:rsid w:val="00AE4E08"/>
    <w:rsid w:val="00AE6903"/>
    <w:rsid w:val="00AE7F76"/>
    <w:rsid w:val="00AF0D8E"/>
    <w:rsid w:val="00AF19B3"/>
    <w:rsid w:val="00AF1CB5"/>
    <w:rsid w:val="00AF21AA"/>
    <w:rsid w:val="00AF2268"/>
    <w:rsid w:val="00AF2278"/>
    <w:rsid w:val="00AF34A7"/>
    <w:rsid w:val="00AF3C34"/>
    <w:rsid w:val="00AF55D6"/>
    <w:rsid w:val="00AF625A"/>
    <w:rsid w:val="00AF62B0"/>
    <w:rsid w:val="00AF6352"/>
    <w:rsid w:val="00AF647F"/>
    <w:rsid w:val="00AF7655"/>
    <w:rsid w:val="00AF7B8D"/>
    <w:rsid w:val="00B02987"/>
    <w:rsid w:val="00B0423A"/>
    <w:rsid w:val="00B051D8"/>
    <w:rsid w:val="00B056EF"/>
    <w:rsid w:val="00B074A7"/>
    <w:rsid w:val="00B077E7"/>
    <w:rsid w:val="00B07CA2"/>
    <w:rsid w:val="00B115B6"/>
    <w:rsid w:val="00B11D77"/>
    <w:rsid w:val="00B11FC9"/>
    <w:rsid w:val="00B12935"/>
    <w:rsid w:val="00B13025"/>
    <w:rsid w:val="00B131B2"/>
    <w:rsid w:val="00B13C8D"/>
    <w:rsid w:val="00B144ED"/>
    <w:rsid w:val="00B1581E"/>
    <w:rsid w:val="00B16276"/>
    <w:rsid w:val="00B20C68"/>
    <w:rsid w:val="00B21342"/>
    <w:rsid w:val="00B21447"/>
    <w:rsid w:val="00B21E55"/>
    <w:rsid w:val="00B222C3"/>
    <w:rsid w:val="00B22854"/>
    <w:rsid w:val="00B2323B"/>
    <w:rsid w:val="00B244B6"/>
    <w:rsid w:val="00B25E7C"/>
    <w:rsid w:val="00B26144"/>
    <w:rsid w:val="00B266DC"/>
    <w:rsid w:val="00B26BD6"/>
    <w:rsid w:val="00B26F53"/>
    <w:rsid w:val="00B2758B"/>
    <w:rsid w:val="00B30677"/>
    <w:rsid w:val="00B3069A"/>
    <w:rsid w:val="00B357B3"/>
    <w:rsid w:val="00B35899"/>
    <w:rsid w:val="00B35A21"/>
    <w:rsid w:val="00B4020A"/>
    <w:rsid w:val="00B40D6E"/>
    <w:rsid w:val="00B439DA"/>
    <w:rsid w:val="00B4424E"/>
    <w:rsid w:val="00B452DB"/>
    <w:rsid w:val="00B46844"/>
    <w:rsid w:val="00B50324"/>
    <w:rsid w:val="00B504F0"/>
    <w:rsid w:val="00B5062C"/>
    <w:rsid w:val="00B50B4C"/>
    <w:rsid w:val="00B50D85"/>
    <w:rsid w:val="00B51402"/>
    <w:rsid w:val="00B51AC1"/>
    <w:rsid w:val="00B51ADA"/>
    <w:rsid w:val="00B53627"/>
    <w:rsid w:val="00B537EE"/>
    <w:rsid w:val="00B53944"/>
    <w:rsid w:val="00B53C21"/>
    <w:rsid w:val="00B54559"/>
    <w:rsid w:val="00B555ED"/>
    <w:rsid w:val="00B560B3"/>
    <w:rsid w:val="00B567F2"/>
    <w:rsid w:val="00B5685A"/>
    <w:rsid w:val="00B61309"/>
    <w:rsid w:val="00B61365"/>
    <w:rsid w:val="00B6256B"/>
    <w:rsid w:val="00B6342D"/>
    <w:rsid w:val="00B65DD6"/>
    <w:rsid w:val="00B66274"/>
    <w:rsid w:val="00B663D5"/>
    <w:rsid w:val="00B6697E"/>
    <w:rsid w:val="00B67C37"/>
    <w:rsid w:val="00B712AB"/>
    <w:rsid w:val="00B71359"/>
    <w:rsid w:val="00B71514"/>
    <w:rsid w:val="00B716BD"/>
    <w:rsid w:val="00B7172D"/>
    <w:rsid w:val="00B73848"/>
    <w:rsid w:val="00B73BA4"/>
    <w:rsid w:val="00B73C0C"/>
    <w:rsid w:val="00B749F1"/>
    <w:rsid w:val="00B74B0A"/>
    <w:rsid w:val="00B74CF0"/>
    <w:rsid w:val="00B74D1F"/>
    <w:rsid w:val="00B80ADA"/>
    <w:rsid w:val="00B83731"/>
    <w:rsid w:val="00B84764"/>
    <w:rsid w:val="00B877DA"/>
    <w:rsid w:val="00B878AD"/>
    <w:rsid w:val="00B90CDD"/>
    <w:rsid w:val="00B91062"/>
    <w:rsid w:val="00B9121E"/>
    <w:rsid w:val="00B912DB"/>
    <w:rsid w:val="00B91F30"/>
    <w:rsid w:val="00B926B2"/>
    <w:rsid w:val="00B93742"/>
    <w:rsid w:val="00B94CCA"/>
    <w:rsid w:val="00B9690D"/>
    <w:rsid w:val="00B96EE0"/>
    <w:rsid w:val="00BA0335"/>
    <w:rsid w:val="00BA072B"/>
    <w:rsid w:val="00BA1426"/>
    <w:rsid w:val="00BA2C65"/>
    <w:rsid w:val="00BA31C3"/>
    <w:rsid w:val="00BA7E69"/>
    <w:rsid w:val="00BB0F58"/>
    <w:rsid w:val="00BB1197"/>
    <w:rsid w:val="00BB330E"/>
    <w:rsid w:val="00BB5F09"/>
    <w:rsid w:val="00BB6ADD"/>
    <w:rsid w:val="00BB77BD"/>
    <w:rsid w:val="00BC4109"/>
    <w:rsid w:val="00BC4A73"/>
    <w:rsid w:val="00BC4C10"/>
    <w:rsid w:val="00BC4F69"/>
    <w:rsid w:val="00BC5A57"/>
    <w:rsid w:val="00BC61C5"/>
    <w:rsid w:val="00BC63DE"/>
    <w:rsid w:val="00BC66F0"/>
    <w:rsid w:val="00BC6DBF"/>
    <w:rsid w:val="00BD061F"/>
    <w:rsid w:val="00BD06F3"/>
    <w:rsid w:val="00BD131A"/>
    <w:rsid w:val="00BD13B4"/>
    <w:rsid w:val="00BD2638"/>
    <w:rsid w:val="00BD38C6"/>
    <w:rsid w:val="00BD3CDC"/>
    <w:rsid w:val="00BD3F9F"/>
    <w:rsid w:val="00BD4367"/>
    <w:rsid w:val="00BD4B69"/>
    <w:rsid w:val="00BD72CD"/>
    <w:rsid w:val="00BE1EF4"/>
    <w:rsid w:val="00BE2A0D"/>
    <w:rsid w:val="00BE3CD7"/>
    <w:rsid w:val="00BE4703"/>
    <w:rsid w:val="00BE5193"/>
    <w:rsid w:val="00BE5928"/>
    <w:rsid w:val="00BE6950"/>
    <w:rsid w:val="00BF09F4"/>
    <w:rsid w:val="00BF0AB0"/>
    <w:rsid w:val="00BF1D9A"/>
    <w:rsid w:val="00BF1DA4"/>
    <w:rsid w:val="00BF4360"/>
    <w:rsid w:val="00BF437F"/>
    <w:rsid w:val="00BF463B"/>
    <w:rsid w:val="00BF4EA2"/>
    <w:rsid w:val="00BF7A0A"/>
    <w:rsid w:val="00BF7DAF"/>
    <w:rsid w:val="00BF7E38"/>
    <w:rsid w:val="00C0045F"/>
    <w:rsid w:val="00C01596"/>
    <w:rsid w:val="00C0275A"/>
    <w:rsid w:val="00C03C07"/>
    <w:rsid w:val="00C04057"/>
    <w:rsid w:val="00C05876"/>
    <w:rsid w:val="00C05913"/>
    <w:rsid w:val="00C0642B"/>
    <w:rsid w:val="00C07845"/>
    <w:rsid w:val="00C07E7D"/>
    <w:rsid w:val="00C10322"/>
    <w:rsid w:val="00C10CAB"/>
    <w:rsid w:val="00C11FD3"/>
    <w:rsid w:val="00C130B5"/>
    <w:rsid w:val="00C140C8"/>
    <w:rsid w:val="00C14B4C"/>
    <w:rsid w:val="00C15D55"/>
    <w:rsid w:val="00C16530"/>
    <w:rsid w:val="00C1675B"/>
    <w:rsid w:val="00C17890"/>
    <w:rsid w:val="00C17962"/>
    <w:rsid w:val="00C17E74"/>
    <w:rsid w:val="00C20D5B"/>
    <w:rsid w:val="00C21341"/>
    <w:rsid w:val="00C213BC"/>
    <w:rsid w:val="00C2194D"/>
    <w:rsid w:val="00C221E4"/>
    <w:rsid w:val="00C22BE9"/>
    <w:rsid w:val="00C24319"/>
    <w:rsid w:val="00C248F7"/>
    <w:rsid w:val="00C25CF7"/>
    <w:rsid w:val="00C25D0A"/>
    <w:rsid w:val="00C260DA"/>
    <w:rsid w:val="00C261B3"/>
    <w:rsid w:val="00C263AD"/>
    <w:rsid w:val="00C27811"/>
    <w:rsid w:val="00C32246"/>
    <w:rsid w:val="00C32BFC"/>
    <w:rsid w:val="00C34C35"/>
    <w:rsid w:val="00C35706"/>
    <w:rsid w:val="00C35F6F"/>
    <w:rsid w:val="00C361CE"/>
    <w:rsid w:val="00C36864"/>
    <w:rsid w:val="00C371A8"/>
    <w:rsid w:val="00C377C2"/>
    <w:rsid w:val="00C37DE7"/>
    <w:rsid w:val="00C42552"/>
    <w:rsid w:val="00C425BB"/>
    <w:rsid w:val="00C42A11"/>
    <w:rsid w:val="00C43C73"/>
    <w:rsid w:val="00C44509"/>
    <w:rsid w:val="00C45142"/>
    <w:rsid w:val="00C4553F"/>
    <w:rsid w:val="00C455ED"/>
    <w:rsid w:val="00C46BD6"/>
    <w:rsid w:val="00C46CE6"/>
    <w:rsid w:val="00C47361"/>
    <w:rsid w:val="00C50D93"/>
    <w:rsid w:val="00C5156F"/>
    <w:rsid w:val="00C53AB7"/>
    <w:rsid w:val="00C540C0"/>
    <w:rsid w:val="00C55980"/>
    <w:rsid w:val="00C5603F"/>
    <w:rsid w:val="00C5627D"/>
    <w:rsid w:val="00C5712D"/>
    <w:rsid w:val="00C57258"/>
    <w:rsid w:val="00C609FC"/>
    <w:rsid w:val="00C61FF8"/>
    <w:rsid w:val="00C6238C"/>
    <w:rsid w:val="00C643E3"/>
    <w:rsid w:val="00C64721"/>
    <w:rsid w:val="00C65492"/>
    <w:rsid w:val="00C6767C"/>
    <w:rsid w:val="00C7029B"/>
    <w:rsid w:val="00C71599"/>
    <w:rsid w:val="00C72FF3"/>
    <w:rsid w:val="00C73A3C"/>
    <w:rsid w:val="00C74486"/>
    <w:rsid w:val="00C758B7"/>
    <w:rsid w:val="00C77276"/>
    <w:rsid w:val="00C77F19"/>
    <w:rsid w:val="00C81EB6"/>
    <w:rsid w:val="00C82115"/>
    <w:rsid w:val="00C821AC"/>
    <w:rsid w:val="00C829FC"/>
    <w:rsid w:val="00C83181"/>
    <w:rsid w:val="00C835B7"/>
    <w:rsid w:val="00C8444E"/>
    <w:rsid w:val="00C845A7"/>
    <w:rsid w:val="00C856EE"/>
    <w:rsid w:val="00C85A12"/>
    <w:rsid w:val="00C85B6A"/>
    <w:rsid w:val="00C86B00"/>
    <w:rsid w:val="00C8791E"/>
    <w:rsid w:val="00C926DA"/>
    <w:rsid w:val="00C92F60"/>
    <w:rsid w:val="00C947B2"/>
    <w:rsid w:val="00C94899"/>
    <w:rsid w:val="00C96740"/>
    <w:rsid w:val="00C97489"/>
    <w:rsid w:val="00CA03F4"/>
    <w:rsid w:val="00CA0D25"/>
    <w:rsid w:val="00CA1DC0"/>
    <w:rsid w:val="00CA3581"/>
    <w:rsid w:val="00CB067F"/>
    <w:rsid w:val="00CB3E60"/>
    <w:rsid w:val="00CB4DDB"/>
    <w:rsid w:val="00CB53AA"/>
    <w:rsid w:val="00CB5ADC"/>
    <w:rsid w:val="00CB5E43"/>
    <w:rsid w:val="00CB7D23"/>
    <w:rsid w:val="00CB7DB1"/>
    <w:rsid w:val="00CB7DE8"/>
    <w:rsid w:val="00CC02A9"/>
    <w:rsid w:val="00CC0BB8"/>
    <w:rsid w:val="00CC250D"/>
    <w:rsid w:val="00CC2730"/>
    <w:rsid w:val="00CC2B8D"/>
    <w:rsid w:val="00CC2D1F"/>
    <w:rsid w:val="00CC46DC"/>
    <w:rsid w:val="00CC5711"/>
    <w:rsid w:val="00CC7186"/>
    <w:rsid w:val="00CD0F8B"/>
    <w:rsid w:val="00CD0FA1"/>
    <w:rsid w:val="00CD2AD4"/>
    <w:rsid w:val="00CD2E06"/>
    <w:rsid w:val="00CD46E2"/>
    <w:rsid w:val="00CD4E3A"/>
    <w:rsid w:val="00CD5E35"/>
    <w:rsid w:val="00CD6387"/>
    <w:rsid w:val="00CD69B7"/>
    <w:rsid w:val="00CE0139"/>
    <w:rsid w:val="00CE068F"/>
    <w:rsid w:val="00CE0B67"/>
    <w:rsid w:val="00CE0FB7"/>
    <w:rsid w:val="00CE47D2"/>
    <w:rsid w:val="00CE4DEB"/>
    <w:rsid w:val="00CE5A9E"/>
    <w:rsid w:val="00CE5AAF"/>
    <w:rsid w:val="00CE6B91"/>
    <w:rsid w:val="00CE7B5F"/>
    <w:rsid w:val="00CF0204"/>
    <w:rsid w:val="00CF0DF2"/>
    <w:rsid w:val="00CF1D94"/>
    <w:rsid w:val="00CF2277"/>
    <w:rsid w:val="00CF371E"/>
    <w:rsid w:val="00CF3AC4"/>
    <w:rsid w:val="00CF45BA"/>
    <w:rsid w:val="00CF4F11"/>
    <w:rsid w:val="00CF5258"/>
    <w:rsid w:val="00CF57CA"/>
    <w:rsid w:val="00CF7141"/>
    <w:rsid w:val="00CF72CA"/>
    <w:rsid w:val="00CF72E6"/>
    <w:rsid w:val="00CF7308"/>
    <w:rsid w:val="00CF7BEA"/>
    <w:rsid w:val="00D00DC0"/>
    <w:rsid w:val="00D01C3B"/>
    <w:rsid w:val="00D02CF0"/>
    <w:rsid w:val="00D02F30"/>
    <w:rsid w:val="00D031B0"/>
    <w:rsid w:val="00D0335F"/>
    <w:rsid w:val="00D0367F"/>
    <w:rsid w:val="00D04842"/>
    <w:rsid w:val="00D05508"/>
    <w:rsid w:val="00D0553E"/>
    <w:rsid w:val="00D0657B"/>
    <w:rsid w:val="00D06840"/>
    <w:rsid w:val="00D07615"/>
    <w:rsid w:val="00D10480"/>
    <w:rsid w:val="00D1060E"/>
    <w:rsid w:val="00D1105E"/>
    <w:rsid w:val="00D11260"/>
    <w:rsid w:val="00D11915"/>
    <w:rsid w:val="00D13B4B"/>
    <w:rsid w:val="00D1421D"/>
    <w:rsid w:val="00D14CF7"/>
    <w:rsid w:val="00D16B7F"/>
    <w:rsid w:val="00D1753B"/>
    <w:rsid w:val="00D17701"/>
    <w:rsid w:val="00D177C8"/>
    <w:rsid w:val="00D205CA"/>
    <w:rsid w:val="00D20D4D"/>
    <w:rsid w:val="00D20E41"/>
    <w:rsid w:val="00D21797"/>
    <w:rsid w:val="00D217FF"/>
    <w:rsid w:val="00D23286"/>
    <w:rsid w:val="00D246F4"/>
    <w:rsid w:val="00D24CD8"/>
    <w:rsid w:val="00D26A98"/>
    <w:rsid w:val="00D27745"/>
    <w:rsid w:val="00D27D3D"/>
    <w:rsid w:val="00D309D2"/>
    <w:rsid w:val="00D30D97"/>
    <w:rsid w:val="00D314AB"/>
    <w:rsid w:val="00D32384"/>
    <w:rsid w:val="00D32B05"/>
    <w:rsid w:val="00D33DFE"/>
    <w:rsid w:val="00D34EA5"/>
    <w:rsid w:val="00D34F4D"/>
    <w:rsid w:val="00D35EB7"/>
    <w:rsid w:val="00D37C83"/>
    <w:rsid w:val="00D37DCB"/>
    <w:rsid w:val="00D40772"/>
    <w:rsid w:val="00D40C9D"/>
    <w:rsid w:val="00D4220C"/>
    <w:rsid w:val="00D42A44"/>
    <w:rsid w:val="00D42D01"/>
    <w:rsid w:val="00D43663"/>
    <w:rsid w:val="00D43FFA"/>
    <w:rsid w:val="00D44E2F"/>
    <w:rsid w:val="00D452FD"/>
    <w:rsid w:val="00D4560E"/>
    <w:rsid w:val="00D458BC"/>
    <w:rsid w:val="00D46230"/>
    <w:rsid w:val="00D47DE5"/>
    <w:rsid w:val="00D500D0"/>
    <w:rsid w:val="00D51174"/>
    <w:rsid w:val="00D51A5C"/>
    <w:rsid w:val="00D51D70"/>
    <w:rsid w:val="00D5383A"/>
    <w:rsid w:val="00D53F15"/>
    <w:rsid w:val="00D551D5"/>
    <w:rsid w:val="00D55A95"/>
    <w:rsid w:val="00D56172"/>
    <w:rsid w:val="00D563CB"/>
    <w:rsid w:val="00D566B0"/>
    <w:rsid w:val="00D569F6"/>
    <w:rsid w:val="00D60320"/>
    <w:rsid w:val="00D60EF9"/>
    <w:rsid w:val="00D61C7F"/>
    <w:rsid w:val="00D61D57"/>
    <w:rsid w:val="00D62BD8"/>
    <w:rsid w:val="00D62D5B"/>
    <w:rsid w:val="00D64D61"/>
    <w:rsid w:val="00D6551B"/>
    <w:rsid w:val="00D656B1"/>
    <w:rsid w:val="00D65A51"/>
    <w:rsid w:val="00D6742C"/>
    <w:rsid w:val="00D67CBE"/>
    <w:rsid w:val="00D70F40"/>
    <w:rsid w:val="00D71492"/>
    <w:rsid w:val="00D7189B"/>
    <w:rsid w:val="00D71F6E"/>
    <w:rsid w:val="00D74ADC"/>
    <w:rsid w:val="00D7508D"/>
    <w:rsid w:val="00D75ADD"/>
    <w:rsid w:val="00D76AE8"/>
    <w:rsid w:val="00D8013F"/>
    <w:rsid w:val="00D82D98"/>
    <w:rsid w:val="00D83739"/>
    <w:rsid w:val="00D837AD"/>
    <w:rsid w:val="00D86598"/>
    <w:rsid w:val="00D87B57"/>
    <w:rsid w:val="00D91614"/>
    <w:rsid w:val="00D9164A"/>
    <w:rsid w:val="00D930E0"/>
    <w:rsid w:val="00D942FD"/>
    <w:rsid w:val="00D95B4A"/>
    <w:rsid w:val="00D95E31"/>
    <w:rsid w:val="00DA1291"/>
    <w:rsid w:val="00DA12AD"/>
    <w:rsid w:val="00DA1B75"/>
    <w:rsid w:val="00DA3570"/>
    <w:rsid w:val="00DA36D5"/>
    <w:rsid w:val="00DA42EB"/>
    <w:rsid w:val="00DA4C80"/>
    <w:rsid w:val="00DA52F1"/>
    <w:rsid w:val="00DA5E39"/>
    <w:rsid w:val="00DA60FA"/>
    <w:rsid w:val="00DA6B5C"/>
    <w:rsid w:val="00DA75E1"/>
    <w:rsid w:val="00DB00F5"/>
    <w:rsid w:val="00DB053F"/>
    <w:rsid w:val="00DB070B"/>
    <w:rsid w:val="00DB0734"/>
    <w:rsid w:val="00DB153E"/>
    <w:rsid w:val="00DB2573"/>
    <w:rsid w:val="00DB25C0"/>
    <w:rsid w:val="00DB30A0"/>
    <w:rsid w:val="00DB3B4A"/>
    <w:rsid w:val="00DB3B5F"/>
    <w:rsid w:val="00DB3F24"/>
    <w:rsid w:val="00DB41CE"/>
    <w:rsid w:val="00DB4560"/>
    <w:rsid w:val="00DB4C2E"/>
    <w:rsid w:val="00DB4EA2"/>
    <w:rsid w:val="00DC110B"/>
    <w:rsid w:val="00DC28B2"/>
    <w:rsid w:val="00DC2E50"/>
    <w:rsid w:val="00DC2F1C"/>
    <w:rsid w:val="00DC33A3"/>
    <w:rsid w:val="00DC4F93"/>
    <w:rsid w:val="00DC524A"/>
    <w:rsid w:val="00DC7327"/>
    <w:rsid w:val="00DD170A"/>
    <w:rsid w:val="00DD2115"/>
    <w:rsid w:val="00DD3A64"/>
    <w:rsid w:val="00DD566E"/>
    <w:rsid w:val="00DD6FC6"/>
    <w:rsid w:val="00DD78C2"/>
    <w:rsid w:val="00DE102B"/>
    <w:rsid w:val="00DE128F"/>
    <w:rsid w:val="00DE1607"/>
    <w:rsid w:val="00DE1712"/>
    <w:rsid w:val="00DE40F5"/>
    <w:rsid w:val="00DE48BA"/>
    <w:rsid w:val="00DE496A"/>
    <w:rsid w:val="00DE4C96"/>
    <w:rsid w:val="00DE5931"/>
    <w:rsid w:val="00DE5933"/>
    <w:rsid w:val="00DE5D18"/>
    <w:rsid w:val="00DE5F38"/>
    <w:rsid w:val="00DE761B"/>
    <w:rsid w:val="00DE7F41"/>
    <w:rsid w:val="00DF035A"/>
    <w:rsid w:val="00DF29BA"/>
    <w:rsid w:val="00DF4266"/>
    <w:rsid w:val="00DF44D6"/>
    <w:rsid w:val="00DF5831"/>
    <w:rsid w:val="00DF5BFD"/>
    <w:rsid w:val="00DF5F23"/>
    <w:rsid w:val="00DF7354"/>
    <w:rsid w:val="00DF7BF8"/>
    <w:rsid w:val="00DF7C81"/>
    <w:rsid w:val="00DFF8E5"/>
    <w:rsid w:val="00E03AE9"/>
    <w:rsid w:val="00E04F76"/>
    <w:rsid w:val="00E04FFE"/>
    <w:rsid w:val="00E0685D"/>
    <w:rsid w:val="00E1079F"/>
    <w:rsid w:val="00E13D1C"/>
    <w:rsid w:val="00E13EB5"/>
    <w:rsid w:val="00E14565"/>
    <w:rsid w:val="00E14E1D"/>
    <w:rsid w:val="00E1741D"/>
    <w:rsid w:val="00E20AA5"/>
    <w:rsid w:val="00E20F81"/>
    <w:rsid w:val="00E25E92"/>
    <w:rsid w:val="00E27AD3"/>
    <w:rsid w:val="00E303CA"/>
    <w:rsid w:val="00E3083A"/>
    <w:rsid w:val="00E31D07"/>
    <w:rsid w:val="00E32044"/>
    <w:rsid w:val="00E33652"/>
    <w:rsid w:val="00E33FF4"/>
    <w:rsid w:val="00E348D3"/>
    <w:rsid w:val="00E353F6"/>
    <w:rsid w:val="00E3567C"/>
    <w:rsid w:val="00E369D2"/>
    <w:rsid w:val="00E36C6C"/>
    <w:rsid w:val="00E37A9A"/>
    <w:rsid w:val="00E40DD6"/>
    <w:rsid w:val="00E411C8"/>
    <w:rsid w:val="00E43F8D"/>
    <w:rsid w:val="00E43FC1"/>
    <w:rsid w:val="00E441A7"/>
    <w:rsid w:val="00E44C70"/>
    <w:rsid w:val="00E45363"/>
    <w:rsid w:val="00E4693D"/>
    <w:rsid w:val="00E5142E"/>
    <w:rsid w:val="00E52F09"/>
    <w:rsid w:val="00E536FB"/>
    <w:rsid w:val="00E54078"/>
    <w:rsid w:val="00E54D78"/>
    <w:rsid w:val="00E55067"/>
    <w:rsid w:val="00E5573F"/>
    <w:rsid w:val="00E56DF4"/>
    <w:rsid w:val="00E57163"/>
    <w:rsid w:val="00E57C99"/>
    <w:rsid w:val="00E6034B"/>
    <w:rsid w:val="00E6062E"/>
    <w:rsid w:val="00E6543D"/>
    <w:rsid w:val="00E65EF8"/>
    <w:rsid w:val="00E67873"/>
    <w:rsid w:val="00E71516"/>
    <w:rsid w:val="00E7250C"/>
    <w:rsid w:val="00E731B3"/>
    <w:rsid w:val="00E73B1F"/>
    <w:rsid w:val="00E7455F"/>
    <w:rsid w:val="00E8208D"/>
    <w:rsid w:val="00E83280"/>
    <w:rsid w:val="00E850AA"/>
    <w:rsid w:val="00E85F57"/>
    <w:rsid w:val="00E87542"/>
    <w:rsid w:val="00E87901"/>
    <w:rsid w:val="00E87CBD"/>
    <w:rsid w:val="00E9074D"/>
    <w:rsid w:val="00E93522"/>
    <w:rsid w:val="00E94ECF"/>
    <w:rsid w:val="00E96668"/>
    <w:rsid w:val="00E967BB"/>
    <w:rsid w:val="00E969A7"/>
    <w:rsid w:val="00E96D71"/>
    <w:rsid w:val="00E96FC6"/>
    <w:rsid w:val="00E971D0"/>
    <w:rsid w:val="00E97E0C"/>
    <w:rsid w:val="00EA0707"/>
    <w:rsid w:val="00EA0F3E"/>
    <w:rsid w:val="00EA166C"/>
    <w:rsid w:val="00EA1E8C"/>
    <w:rsid w:val="00EA2139"/>
    <w:rsid w:val="00EA5194"/>
    <w:rsid w:val="00EA57ED"/>
    <w:rsid w:val="00EA6D85"/>
    <w:rsid w:val="00EA7E4D"/>
    <w:rsid w:val="00EB0A84"/>
    <w:rsid w:val="00EB0ABC"/>
    <w:rsid w:val="00EB0E97"/>
    <w:rsid w:val="00EB0F0E"/>
    <w:rsid w:val="00EB18EB"/>
    <w:rsid w:val="00EB2088"/>
    <w:rsid w:val="00EB2666"/>
    <w:rsid w:val="00EB281B"/>
    <w:rsid w:val="00EB2B5D"/>
    <w:rsid w:val="00EB45F3"/>
    <w:rsid w:val="00EB4996"/>
    <w:rsid w:val="00EB4C8B"/>
    <w:rsid w:val="00EB52F3"/>
    <w:rsid w:val="00EB7445"/>
    <w:rsid w:val="00EC2D5D"/>
    <w:rsid w:val="00EC3858"/>
    <w:rsid w:val="00EC698F"/>
    <w:rsid w:val="00EC7571"/>
    <w:rsid w:val="00EC7E9C"/>
    <w:rsid w:val="00EC7F8F"/>
    <w:rsid w:val="00ED1EFA"/>
    <w:rsid w:val="00ED40A4"/>
    <w:rsid w:val="00ED479F"/>
    <w:rsid w:val="00ED62B3"/>
    <w:rsid w:val="00ED758F"/>
    <w:rsid w:val="00ED7B41"/>
    <w:rsid w:val="00EE0601"/>
    <w:rsid w:val="00EE0E3A"/>
    <w:rsid w:val="00EE1771"/>
    <w:rsid w:val="00EE1B8B"/>
    <w:rsid w:val="00EE2B3C"/>
    <w:rsid w:val="00EE2F73"/>
    <w:rsid w:val="00EE57D7"/>
    <w:rsid w:val="00EE59F0"/>
    <w:rsid w:val="00EE5CDA"/>
    <w:rsid w:val="00EE5D84"/>
    <w:rsid w:val="00EE734A"/>
    <w:rsid w:val="00EE758D"/>
    <w:rsid w:val="00EE7689"/>
    <w:rsid w:val="00EE78FE"/>
    <w:rsid w:val="00EF08CD"/>
    <w:rsid w:val="00EF0F48"/>
    <w:rsid w:val="00EF2A25"/>
    <w:rsid w:val="00EF42DA"/>
    <w:rsid w:val="00EF4B86"/>
    <w:rsid w:val="00EF56DA"/>
    <w:rsid w:val="00EF60BD"/>
    <w:rsid w:val="00EF7ACA"/>
    <w:rsid w:val="00EF7F2D"/>
    <w:rsid w:val="00F00497"/>
    <w:rsid w:val="00F0141E"/>
    <w:rsid w:val="00F025DB"/>
    <w:rsid w:val="00F035BC"/>
    <w:rsid w:val="00F038E0"/>
    <w:rsid w:val="00F058C0"/>
    <w:rsid w:val="00F065DF"/>
    <w:rsid w:val="00F07A5B"/>
    <w:rsid w:val="00F12D5F"/>
    <w:rsid w:val="00F134E7"/>
    <w:rsid w:val="00F144F1"/>
    <w:rsid w:val="00F15595"/>
    <w:rsid w:val="00F155B3"/>
    <w:rsid w:val="00F169CE"/>
    <w:rsid w:val="00F178EB"/>
    <w:rsid w:val="00F17A2C"/>
    <w:rsid w:val="00F17C29"/>
    <w:rsid w:val="00F216B0"/>
    <w:rsid w:val="00F22598"/>
    <w:rsid w:val="00F24122"/>
    <w:rsid w:val="00F248DD"/>
    <w:rsid w:val="00F249C8"/>
    <w:rsid w:val="00F24AD2"/>
    <w:rsid w:val="00F264FF"/>
    <w:rsid w:val="00F27A9D"/>
    <w:rsid w:val="00F32339"/>
    <w:rsid w:val="00F327B9"/>
    <w:rsid w:val="00F335B3"/>
    <w:rsid w:val="00F336EE"/>
    <w:rsid w:val="00F34739"/>
    <w:rsid w:val="00F34A89"/>
    <w:rsid w:val="00F371DF"/>
    <w:rsid w:val="00F4061F"/>
    <w:rsid w:val="00F40ECB"/>
    <w:rsid w:val="00F415C3"/>
    <w:rsid w:val="00F42D44"/>
    <w:rsid w:val="00F43033"/>
    <w:rsid w:val="00F43CFF"/>
    <w:rsid w:val="00F43D48"/>
    <w:rsid w:val="00F43D4B"/>
    <w:rsid w:val="00F4401C"/>
    <w:rsid w:val="00F44B42"/>
    <w:rsid w:val="00F45E9E"/>
    <w:rsid w:val="00F47950"/>
    <w:rsid w:val="00F505A5"/>
    <w:rsid w:val="00F50805"/>
    <w:rsid w:val="00F50E6F"/>
    <w:rsid w:val="00F5186C"/>
    <w:rsid w:val="00F52635"/>
    <w:rsid w:val="00F52708"/>
    <w:rsid w:val="00F527D1"/>
    <w:rsid w:val="00F53510"/>
    <w:rsid w:val="00F538DC"/>
    <w:rsid w:val="00F53B72"/>
    <w:rsid w:val="00F564EA"/>
    <w:rsid w:val="00F57541"/>
    <w:rsid w:val="00F6042D"/>
    <w:rsid w:val="00F61CE1"/>
    <w:rsid w:val="00F61DE5"/>
    <w:rsid w:val="00F61DFE"/>
    <w:rsid w:val="00F621E5"/>
    <w:rsid w:val="00F62958"/>
    <w:rsid w:val="00F66132"/>
    <w:rsid w:val="00F66640"/>
    <w:rsid w:val="00F669A2"/>
    <w:rsid w:val="00F66C7F"/>
    <w:rsid w:val="00F67BCC"/>
    <w:rsid w:val="00F7148A"/>
    <w:rsid w:val="00F71B25"/>
    <w:rsid w:val="00F7246B"/>
    <w:rsid w:val="00F7575C"/>
    <w:rsid w:val="00F75F9F"/>
    <w:rsid w:val="00F80C44"/>
    <w:rsid w:val="00F80E80"/>
    <w:rsid w:val="00F816ED"/>
    <w:rsid w:val="00F82C6F"/>
    <w:rsid w:val="00F8571E"/>
    <w:rsid w:val="00F857EB"/>
    <w:rsid w:val="00F879E1"/>
    <w:rsid w:val="00F934DB"/>
    <w:rsid w:val="00F937EC"/>
    <w:rsid w:val="00F93BD4"/>
    <w:rsid w:val="00F94C4B"/>
    <w:rsid w:val="00F95F84"/>
    <w:rsid w:val="00F963FB"/>
    <w:rsid w:val="00F96477"/>
    <w:rsid w:val="00F964C8"/>
    <w:rsid w:val="00F96E28"/>
    <w:rsid w:val="00F97AA4"/>
    <w:rsid w:val="00FA2D3E"/>
    <w:rsid w:val="00FA36DB"/>
    <w:rsid w:val="00FA407C"/>
    <w:rsid w:val="00FA4144"/>
    <w:rsid w:val="00FA498C"/>
    <w:rsid w:val="00FA5114"/>
    <w:rsid w:val="00FA54F3"/>
    <w:rsid w:val="00FA5BB4"/>
    <w:rsid w:val="00FA66A6"/>
    <w:rsid w:val="00FA6C4B"/>
    <w:rsid w:val="00FA6FCF"/>
    <w:rsid w:val="00FA765B"/>
    <w:rsid w:val="00FB12FC"/>
    <w:rsid w:val="00FB2351"/>
    <w:rsid w:val="00FB2F0B"/>
    <w:rsid w:val="00FB6144"/>
    <w:rsid w:val="00FB787E"/>
    <w:rsid w:val="00FB7E72"/>
    <w:rsid w:val="00FC00CB"/>
    <w:rsid w:val="00FC0221"/>
    <w:rsid w:val="00FC0260"/>
    <w:rsid w:val="00FC0BA8"/>
    <w:rsid w:val="00FC12FD"/>
    <w:rsid w:val="00FC352A"/>
    <w:rsid w:val="00FC3BD0"/>
    <w:rsid w:val="00FC51E9"/>
    <w:rsid w:val="00FC6398"/>
    <w:rsid w:val="00FC6923"/>
    <w:rsid w:val="00FC73AC"/>
    <w:rsid w:val="00FD0923"/>
    <w:rsid w:val="00FD1DF4"/>
    <w:rsid w:val="00FD233B"/>
    <w:rsid w:val="00FD3284"/>
    <w:rsid w:val="00FD3B63"/>
    <w:rsid w:val="00FD3E53"/>
    <w:rsid w:val="00FD4848"/>
    <w:rsid w:val="00FD5D40"/>
    <w:rsid w:val="00FD6480"/>
    <w:rsid w:val="00FD746B"/>
    <w:rsid w:val="00FE10C1"/>
    <w:rsid w:val="00FE314B"/>
    <w:rsid w:val="00FE46B2"/>
    <w:rsid w:val="00FE5940"/>
    <w:rsid w:val="00FE6853"/>
    <w:rsid w:val="00FE7BC9"/>
    <w:rsid w:val="00FF21E0"/>
    <w:rsid w:val="00FF2A05"/>
    <w:rsid w:val="00FF2BCB"/>
    <w:rsid w:val="00FF3767"/>
    <w:rsid w:val="00FF5085"/>
    <w:rsid w:val="00FF64C0"/>
    <w:rsid w:val="00FF7EB8"/>
    <w:rsid w:val="016F7A33"/>
    <w:rsid w:val="01D48621"/>
    <w:rsid w:val="037798DE"/>
    <w:rsid w:val="03F02BCB"/>
    <w:rsid w:val="0415A169"/>
    <w:rsid w:val="053E813A"/>
    <w:rsid w:val="0659E4DA"/>
    <w:rsid w:val="06AF4C57"/>
    <w:rsid w:val="071263D1"/>
    <w:rsid w:val="081BC251"/>
    <w:rsid w:val="0DFF42C3"/>
    <w:rsid w:val="0E285102"/>
    <w:rsid w:val="0EF0FFAD"/>
    <w:rsid w:val="0FD9BDEB"/>
    <w:rsid w:val="111D8B86"/>
    <w:rsid w:val="1220F5B9"/>
    <w:rsid w:val="145ABBEE"/>
    <w:rsid w:val="1707D75A"/>
    <w:rsid w:val="1A9D6497"/>
    <w:rsid w:val="1B2EA788"/>
    <w:rsid w:val="1E80DC05"/>
    <w:rsid w:val="1F10BE30"/>
    <w:rsid w:val="1FC93D27"/>
    <w:rsid w:val="2081894D"/>
    <w:rsid w:val="23818F45"/>
    <w:rsid w:val="23FB0CAB"/>
    <w:rsid w:val="24320EEC"/>
    <w:rsid w:val="274241D2"/>
    <w:rsid w:val="27E2AAB6"/>
    <w:rsid w:val="2A01625E"/>
    <w:rsid w:val="2A6479D8"/>
    <w:rsid w:val="2AA57E4F"/>
    <w:rsid w:val="2B6DD858"/>
    <w:rsid w:val="2CC67737"/>
    <w:rsid w:val="2F10E1C6"/>
    <w:rsid w:val="3151FD0E"/>
    <w:rsid w:val="3214442D"/>
    <w:rsid w:val="346FA18D"/>
    <w:rsid w:val="351A7C1A"/>
    <w:rsid w:val="361408C0"/>
    <w:rsid w:val="36DC5991"/>
    <w:rsid w:val="378EB16A"/>
    <w:rsid w:val="3B305A12"/>
    <w:rsid w:val="3CD3E42D"/>
    <w:rsid w:val="3D71755A"/>
    <w:rsid w:val="3D91AD13"/>
    <w:rsid w:val="40134FF7"/>
    <w:rsid w:val="406387B5"/>
    <w:rsid w:val="41A1F13C"/>
    <w:rsid w:val="42D03521"/>
    <w:rsid w:val="444157DD"/>
    <w:rsid w:val="480ED706"/>
    <w:rsid w:val="489739B4"/>
    <w:rsid w:val="4948F7C2"/>
    <w:rsid w:val="495DFBD7"/>
    <w:rsid w:val="4B243A04"/>
    <w:rsid w:val="4D33E2A2"/>
    <w:rsid w:val="4ECECB56"/>
    <w:rsid w:val="51BAE964"/>
    <w:rsid w:val="523D822F"/>
    <w:rsid w:val="540E09CC"/>
    <w:rsid w:val="56EB4AE3"/>
    <w:rsid w:val="57DF56BB"/>
    <w:rsid w:val="58D89245"/>
    <w:rsid w:val="5B31D9CB"/>
    <w:rsid w:val="5B5EA47C"/>
    <w:rsid w:val="5D2081F3"/>
    <w:rsid w:val="5F67B9C1"/>
    <w:rsid w:val="609E15C3"/>
    <w:rsid w:val="62B7D045"/>
    <w:rsid w:val="63B59DBC"/>
    <w:rsid w:val="63DB135A"/>
    <w:rsid w:val="65B6F2A6"/>
    <w:rsid w:val="69231ECF"/>
    <w:rsid w:val="69D7644E"/>
    <w:rsid w:val="6DC6B36F"/>
    <w:rsid w:val="6ECEDFB1"/>
    <w:rsid w:val="6FC044C4"/>
    <w:rsid w:val="7148E40C"/>
    <w:rsid w:val="727F6550"/>
    <w:rsid w:val="757177AB"/>
    <w:rsid w:val="7B40CB1D"/>
    <w:rsid w:val="7E20D858"/>
    <w:rsid w:val="7EB0BA8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C258"/>
  <w15:chartTrackingRefBased/>
  <w15:docId w15:val="{0AEF0E86-2766-480B-B071-55819E4E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56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405053"/>
    <w:pPr>
      <w:ind w:left="720"/>
      <w:contextualSpacing/>
    </w:pPr>
  </w:style>
  <w:style w:type="table" w:styleId="TableGrid">
    <w:name w:val="Table Grid"/>
    <w:basedOn w:val="TableNormal"/>
    <w:uiPriority w:val="39"/>
    <w:rsid w:val="00F3473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00F5"/>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DB00F5"/>
    <w:rPr>
      <w:rFonts w:ascii="Tahoma" w:hAnsi="Tahoma" w:cs="Tahoma"/>
      <w:sz w:val="16"/>
      <w:szCs w:val="16"/>
      <w:lang w:eastAsia="en-US"/>
    </w:rPr>
  </w:style>
  <w:style w:type="paragraph" w:styleId="FootnoteText">
    <w:name w:val="footnote text"/>
    <w:basedOn w:val="Normal"/>
    <w:link w:val="FootnoteTextChar"/>
    <w:rsid w:val="000445E6"/>
    <w:pPr>
      <w:spacing w:after="0" w:line="240" w:lineRule="auto"/>
    </w:pPr>
    <w:rPr>
      <w:rFonts w:ascii="Times New Roman" w:eastAsia="Times New Roman" w:hAnsi="Times New Roman"/>
      <w:sz w:val="20"/>
      <w:szCs w:val="20"/>
      <w:lang w:val="x-none"/>
    </w:rPr>
  </w:style>
  <w:style w:type="character" w:customStyle="1" w:styleId="FootnoteTextChar">
    <w:name w:val="Footnote Text Char"/>
    <w:link w:val="FootnoteText"/>
    <w:rsid w:val="000445E6"/>
    <w:rPr>
      <w:rFonts w:ascii="Times New Roman" w:eastAsia="Times New Roman" w:hAnsi="Times New Roman"/>
      <w:lang w:eastAsia="en-US"/>
    </w:rPr>
  </w:style>
  <w:style w:type="character" w:styleId="FootnoteReference">
    <w:name w:val="footnote reference"/>
    <w:rsid w:val="000445E6"/>
    <w:rPr>
      <w:vertAlign w:val="superscript"/>
    </w:rPr>
  </w:style>
  <w:style w:type="paragraph" w:styleId="Header">
    <w:name w:val="header"/>
    <w:basedOn w:val="Normal"/>
    <w:link w:val="HeaderChar"/>
    <w:uiPriority w:val="99"/>
    <w:unhideWhenUsed/>
    <w:rsid w:val="00DB30A0"/>
    <w:pPr>
      <w:tabs>
        <w:tab w:val="center" w:pos="4513"/>
        <w:tab w:val="right" w:pos="9026"/>
      </w:tabs>
    </w:pPr>
    <w:rPr>
      <w:lang w:val="x-none"/>
    </w:rPr>
  </w:style>
  <w:style w:type="character" w:customStyle="1" w:styleId="HeaderChar">
    <w:name w:val="Header Char"/>
    <w:link w:val="Header"/>
    <w:uiPriority w:val="99"/>
    <w:rsid w:val="00DB30A0"/>
    <w:rPr>
      <w:sz w:val="22"/>
      <w:szCs w:val="22"/>
      <w:lang w:eastAsia="en-US"/>
    </w:rPr>
  </w:style>
  <w:style w:type="paragraph" w:styleId="Footer">
    <w:name w:val="footer"/>
    <w:basedOn w:val="Normal"/>
    <w:link w:val="FooterChar"/>
    <w:uiPriority w:val="99"/>
    <w:unhideWhenUsed/>
    <w:rsid w:val="00DB30A0"/>
    <w:pPr>
      <w:tabs>
        <w:tab w:val="center" w:pos="4513"/>
        <w:tab w:val="right" w:pos="9026"/>
      </w:tabs>
    </w:pPr>
    <w:rPr>
      <w:lang w:val="x-none"/>
    </w:rPr>
  </w:style>
  <w:style w:type="character" w:customStyle="1" w:styleId="FooterChar">
    <w:name w:val="Footer Char"/>
    <w:link w:val="Footer"/>
    <w:uiPriority w:val="99"/>
    <w:rsid w:val="00DB30A0"/>
    <w:rPr>
      <w:sz w:val="22"/>
      <w:szCs w:val="22"/>
      <w:lang w:eastAsia="en-US"/>
    </w:rPr>
  </w:style>
  <w:style w:type="character" w:styleId="CommentReference">
    <w:name w:val="annotation reference"/>
    <w:uiPriority w:val="99"/>
    <w:semiHidden/>
    <w:unhideWhenUsed/>
    <w:rsid w:val="00662731"/>
    <w:rPr>
      <w:sz w:val="16"/>
      <w:szCs w:val="16"/>
    </w:rPr>
  </w:style>
  <w:style w:type="paragraph" w:styleId="CommentText">
    <w:name w:val="annotation text"/>
    <w:basedOn w:val="Normal"/>
    <w:link w:val="CommentTextChar"/>
    <w:uiPriority w:val="99"/>
    <w:semiHidden/>
    <w:unhideWhenUsed/>
    <w:rsid w:val="00662731"/>
    <w:pPr>
      <w:spacing w:line="240" w:lineRule="auto"/>
    </w:pPr>
    <w:rPr>
      <w:sz w:val="20"/>
      <w:szCs w:val="20"/>
      <w:lang w:val="x-none"/>
    </w:rPr>
  </w:style>
  <w:style w:type="character" w:customStyle="1" w:styleId="CommentTextChar">
    <w:name w:val="Comment Text Char"/>
    <w:link w:val="CommentText"/>
    <w:uiPriority w:val="99"/>
    <w:semiHidden/>
    <w:rsid w:val="00662731"/>
    <w:rPr>
      <w:lang w:eastAsia="en-US"/>
    </w:rPr>
  </w:style>
  <w:style w:type="paragraph" w:styleId="CommentSubject">
    <w:name w:val="annotation subject"/>
    <w:basedOn w:val="CommentText"/>
    <w:next w:val="CommentText"/>
    <w:link w:val="CommentSubjectChar"/>
    <w:uiPriority w:val="99"/>
    <w:semiHidden/>
    <w:unhideWhenUsed/>
    <w:rsid w:val="00662731"/>
    <w:rPr>
      <w:b/>
      <w:bCs/>
    </w:rPr>
  </w:style>
  <w:style w:type="character" w:customStyle="1" w:styleId="CommentSubjectChar">
    <w:name w:val="Comment Subject Char"/>
    <w:link w:val="CommentSubject"/>
    <w:uiPriority w:val="99"/>
    <w:semiHidden/>
    <w:rsid w:val="00662731"/>
    <w:rPr>
      <w:b/>
      <w:bCs/>
      <w:lang w:eastAsia="en-US"/>
    </w:rPr>
  </w:style>
  <w:style w:type="paragraph" w:customStyle="1" w:styleId="NumberedAnnexParaCharChar">
    <w:name w:val="Numbered Annex Para Char Char"/>
    <w:basedOn w:val="Normal"/>
    <w:rsid w:val="00C45142"/>
    <w:pPr>
      <w:numPr>
        <w:numId w:val="1"/>
      </w:numPr>
      <w:spacing w:after="0" w:line="240" w:lineRule="auto"/>
    </w:pPr>
    <w:rPr>
      <w:rFonts w:ascii="Arial" w:eastAsia="Times New Roman" w:hAnsi="Arial"/>
      <w:sz w:val="24"/>
      <w:szCs w:val="24"/>
      <w:lang w:val="en-AU" w:eastAsia="en-GB"/>
    </w:rPr>
  </w:style>
  <w:style w:type="paragraph" w:customStyle="1" w:styleId="Default">
    <w:name w:val="Default"/>
    <w:rsid w:val="00105E7D"/>
    <w:pPr>
      <w:autoSpaceDE w:val="0"/>
      <w:autoSpaceDN w:val="0"/>
      <w:adjustRightInd w:val="0"/>
    </w:pPr>
    <w:rPr>
      <w:rFonts w:ascii="Trebuchet MS" w:hAnsi="Trebuchet MS" w:cs="Trebuchet MS"/>
      <w:color w:val="000000"/>
      <w:sz w:val="24"/>
      <w:szCs w:val="24"/>
    </w:rPr>
  </w:style>
  <w:style w:type="character" w:styleId="Hyperlink">
    <w:name w:val="Hyperlink"/>
    <w:basedOn w:val="DefaultParagraphFont"/>
    <w:uiPriority w:val="99"/>
    <w:unhideWhenUsed/>
    <w:rsid w:val="00CD0F8B"/>
    <w:rPr>
      <w:color w:val="0563C1" w:themeColor="hyperlink"/>
      <w:u w:val="single"/>
    </w:rPr>
  </w:style>
  <w:style w:type="character" w:styleId="UnresolvedMention">
    <w:name w:val="Unresolved Mention"/>
    <w:basedOn w:val="DefaultParagraphFont"/>
    <w:uiPriority w:val="99"/>
    <w:semiHidden/>
    <w:unhideWhenUsed/>
    <w:rsid w:val="00CD0F8B"/>
    <w:rPr>
      <w:color w:val="605E5C"/>
      <w:shd w:val="clear" w:color="auto" w:fill="E1DFDD"/>
    </w:rPr>
  </w:style>
  <w:style w:type="character" w:styleId="FollowedHyperlink">
    <w:name w:val="FollowedHyperlink"/>
    <w:basedOn w:val="DefaultParagraphFont"/>
    <w:uiPriority w:val="99"/>
    <w:semiHidden/>
    <w:unhideWhenUsed/>
    <w:rsid w:val="007D10C5"/>
    <w:rPr>
      <w:color w:val="954F72" w:themeColor="followedHyperlink"/>
      <w:u w:val="single"/>
    </w:rPr>
  </w:style>
  <w:style w:type="paragraph" w:styleId="BodyText">
    <w:name w:val="Body Text"/>
    <w:basedOn w:val="Normal"/>
    <w:link w:val="BodyTextChar"/>
    <w:rsid w:val="009635C3"/>
    <w:pPr>
      <w:spacing w:after="0" w:line="240" w:lineRule="auto"/>
    </w:pPr>
    <w:rPr>
      <w:rFonts w:ascii="Arial" w:eastAsia="Times New Roman" w:hAnsi="Arial"/>
      <w:sz w:val="24"/>
      <w:szCs w:val="20"/>
      <w:lang w:eastAsia="en-GB"/>
    </w:rPr>
  </w:style>
  <w:style w:type="character" w:customStyle="1" w:styleId="BodyTextChar">
    <w:name w:val="Body Text Char"/>
    <w:basedOn w:val="DefaultParagraphFont"/>
    <w:link w:val="BodyText"/>
    <w:rsid w:val="009635C3"/>
    <w:rPr>
      <w:rFonts w:ascii="Arial" w:eastAsia="Times New Roman" w:hAnsi="Arial"/>
      <w:sz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9635C3"/>
    <w:rPr>
      <w:sz w:val="22"/>
      <w:szCs w:val="22"/>
      <w:lang w:eastAsia="en-US"/>
    </w:rPr>
  </w:style>
  <w:style w:type="table" w:customStyle="1" w:styleId="TableGrid2">
    <w:name w:val="Table Grid2"/>
    <w:basedOn w:val="TableNormal"/>
    <w:next w:val="TableGrid"/>
    <w:uiPriority w:val="59"/>
    <w:rsid w:val="00180E90"/>
    <w:rPr>
      <w:rFonts w:ascii="Arial" w:eastAsia="Times New Roman"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57C97"/>
    <w:rPr>
      <w:rFonts w:ascii="Arial" w:eastAsia="Times New Roman"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57C97"/>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3">
    <w:name w:val="Table Grid3"/>
    <w:basedOn w:val="TableNormal"/>
    <w:next w:val="TableGrid"/>
    <w:uiPriority w:val="39"/>
    <w:rsid w:val="00534CEC"/>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0698">
      <w:bodyDiv w:val="1"/>
      <w:marLeft w:val="0"/>
      <w:marRight w:val="0"/>
      <w:marTop w:val="0"/>
      <w:marBottom w:val="0"/>
      <w:divBdr>
        <w:top w:val="none" w:sz="0" w:space="0" w:color="auto"/>
        <w:left w:val="none" w:sz="0" w:space="0" w:color="auto"/>
        <w:bottom w:val="none" w:sz="0" w:space="0" w:color="auto"/>
        <w:right w:val="none" w:sz="0" w:space="0" w:color="auto"/>
      </w:divBdr>
      <w:divsChild>
        <w:div w:id="134951989">
          <w:marLeft w:val="274"/>
          <w:marRight w:val="0"/>
          <w:marTop w:val="0"/>
          <w:marBottom w:val="120"/>
          <w:divBdr>
            <w:top w:val="none" w:sz="0" w:space="0" w:color="auto"/>
            <w:left w:val="none" w:sz="0" w:space="0" w:color="auto"/>
            <w:bottom w:val="none" w:sz="0" w:space="0" w:color="auto"/>
            <w:right w:val="none" w:sz="0" w:space="0" w:color="auto"/>
          </w:divBdr>
        </w:div>
        <w:div w:id="195892556">
          <w:marLeft w:val="274"/>
          <w:marRight w:val="0"/>
          <w:marTop w:val="0"/>
          <w:marBottom w:val="120"/>
          <w:divBdr>
            <w:top w:val="none" w:sz="0" w:space="0" w:color="auto"/>
            <w:left w:val="none" w:sz="0" w:space="0" w:color="auto"/>
            <w:bottom w:val="none" w:sz="0" w:space="0" w:color="auto"/>
            <w:right w:val="none" w:sz="0" w:space="0" w:color="auto"/>
          </w:divBdr>
        </w:div>
        <w:div w:id="893614188">
          <w:marLeft w:val="274"/>
          <w:marRight w:val="0"/>
          <w:marTop w:val="0"/>
          <w:marBottom w:val="120"/>
          <w:divBdr>
            <w:top w:val="none" w:sz="0" w:space="0" w:color="auto"/>
            <w:left w:val="none" w:sz="0" w:space="0" w:color="auto"/>
            <w:bottom w:val="none" w:sz="0" w:space="0" w:color="auto"/>
            <w:right w:val="none" w:sz="0" w:space="0" w:color="auto"/>
          </w:divBdr>
        </w:div>
      </w:divsChild>
    </w:div>
    <w:div w:id="89281174">
      <w:bodyDiv w:val="1"/>
      <w:marLeft w:val="0"/>
      <w:marRight w:val="0"/>
      <w:marTop w:val="0"/>
      <w:marBottom w:val="0"/>
      <w:divBdr>
        <w:top w:val="none" w:sz="0" w:space="0" w:color="auto"/>
        <w:left w:val="none" w:sz="0" w:space="0" w:color="auto"/>
        <w:bottom w:val="none" w:sz="0" w:space="0" w:color="auto"/>
        <w:right w:val="none" w:sz="0" w:space="0" w:color="auto"/>
      </w:divBdr>
      <w:divsChild>
        <w:div w:id="953901944">
          <w:marLeft w:val="274"/>
          <w:marRight w:val="0"/>
          <w:marTop w:val="0"/>
          <w:marBottom w:val="120"/>
          <w:divBdr>
            <w:top w:val="none" w:sz="0" w:space="0" w:color="auto"/>
            <w:left w:val="none" w:sz="0" w:space="0" w:color="auto"/>
            <w:bottom w:val="none" w:sz="0" w:space="0" w:color="auto"/>
            <w:right w:val="none" w:sz="0" w:space="0" w:color="auto"/>
          </w:divBdr>
        </w:div>
      </w:divsChild>
    </w:div>
    <w:div w:id="89473156">
      <w:bodyDiv w:val="1"/>
      <w:marLeft w:val="0"/>
      <w:marRight w:val="0"/>
      <w:marTop w:val="0"/>
      <w:marBottom w:val="0"/>
      <w:divBdr>
        <w:top w:val="none" w:sz="0" w:space="0" w:color="auto"/>
        <w:left w:val="none" w:sz="0" w:space="0" w:color="auto"/>
        <w:bottom w:val="none" w:sz="0" w:space="0" w:color="auto"/>
        <w:right w:val="none" w:sz="0" w:space="0" w:color="auto"/>
      </w:divBdr>
      <w:divsChild>
        <w:div w:id="232855417">
          <w:marLeft w:val="288"/>
          <w:marRight w:val="0"/>
          <w:marTop w:val="0"/>
          <w:marBottom w:val="60"/>
          <w:divBdr>
            <w:top w:val="none" w:sz="0" w:space="0" w:color="auto"/>
            <w:left w:val="none" w:sz="0" w:space="0" w:color="auto"/>
            <w:bottom w:val="none" w:sz="0" w:space="0" w:color="auto"/>
            <w:right w:val="none" w:sz="0" w:space="0" w:color="auto"/>
          </w:divBdr>
        </w:div>
        <w:div w:id="308754583">
          <w:marLeft w:val="288"/>
          <w:marRight w:val="0"/>
          <w:marTop w:val="0"/>
          <w:marBottom w:val="60"/>
          <w:divBdr>
            <w:top w:val="none" w:sz="0" w:space="0" w:color="auto"/>
            <w:left w:val="none" w:sz="0" w:space="0" w:color="auto"/>
            <w:bottom w:val="none" w:sz="0" w:space="0" w:color="auto"/>
            <w:right w:val="none" w:sz="0" w:space="0" w:color="auto"/>
          </w:divBdr>
        </w:div>
        <w:div w:id="566382645">
          <w:marLeft w:val="288"/>
          <w:marRight w:val="0"/>
          <w:marTop w:val="0"/>
          <w:marBottom w:val="60"/>
          <w:divBdr>
            <w:top w:val="none" w:sz="0" w:space="0" w:color="auto"/>
            <w:left w:val="none" w:sz="0" w:space="0" w:color="auto"/>
            <w:bottom w:val="none" w:sz="0" w:space="0" w:color="auto"/>
            <w:right w:val="none" w:sz="0" w:space="0" w:color="auto"/>
          </w:divBdr>
        </w:div>
        <w:div w:id="649405039">
          <w:marLeft w:val="288"/>
          <w:marRight w:val="0"/>
          <w:marTop w:val="0"/>
          <w:marBottom w:val="60"/>
          <w:divBdr>
            <w:top w:val="none" w:sz="0" w:space="0" w:color="auto"/>
            <w:left w:val="none" w:sz="0" w:space="0" w:color="auto"/>
            <w:bottom w:val="none" w:sz="0" w:space="0" w:color="auto"/>
            <w:right w:val="none" w:sz="0" w:space="0" w:color="auto"/>
          </w:divBdr>
        </w:div>
        <w:div w:id="721751380">
          <w:marLeft w:val="288"/>
          <w:marRight w:val="0"/>
          <w:marTop w:val="0"/>
          <w:marBottom w:val="60"/>
          <w:divBdr>
            <w:top w:val="none" w:sz="0" w:space="0" w:color="auto"/>
            <w:left w:val="none" w:sz="0" w:space="0" w:color="auto"/>
            <w:bottom w:val="none" w:sz="0" w:space="0" w:color="auto"/>
            <w:right w:val="none" w:sz="0" w:space="0" w:color="auto"/>
          </w:divBdr>
        </w:div>
        <w:div w:id="779910155">
          <w:marLeft w:val="288"/>
          <w:marRight w:val="0"/>
          <w:marTop w:val="0"/>
          <w:marBottom w:val="60"/>
          <w:divBdr>
            <w:top w:val="none" w:sz="0" w:space="0" w:color="auto"/>
            <w:left w:val="none" w:sz="0" w:space="0" w:color="auto"/>
            <w:bottom w:val="none" w:sz="0" w:space="0" w:color="auto"/>
            <w:right w:val="none" w:sz="0" w:space="0" w:color="auto"/>
          </w:divBdr>
        </w:div>
        <w:div w:id="1663387076">
          <w:marLeft w:val="288"/>
          <w:marRight w:val="0"/>
          <w:marTop w:val="0"/>
          <w:marBottom w:val="60"/>
          <w:divBdr>
            <w:top w:val="none" w:sz="0" w:space="0" w:color="auto"/>
            <w:left w:val="none" w:sz="0" w:space="0" w:color="auto"/>
            <w:bottom w:val="none" w:sz="0" w:space="0" w:color="auto"/>
            <w:right w:val="none" w:sz="0" w:space="0" w:color="auto"/>
          </w:divBdr>
        </w:div>
        <w:div w:id="1767649415">
          <w:marLeft w:val="288"/>
          <w:marRight w:val="0"/>
          <w:marTop w:val="0"/>
          <w:marBottom w:val="60"/>
          <w:divBdr>
            <w:top w:val="none" w:sz="0" w:space="0" w:color="auto"/>
            <w:left w:val="none" w:sz="0" w:space="0" w:color="auto"/>
            <w:bottom w:val="none" w:sz="0" w:space="0" w:color="auto"/>
            <w:right w:val="none" w:sz="0" w:space="0" w:color="auto"/>
          </w:divBdr>
        </w:div>
      </w:divsChild>
    </w:div>
    <w:div w:id="117796090">
      <w:bodyDiv w:val="1"/>
      <w:marLeft w:val="0"/>
      <w:marRight w:val="0"/>
      <w:marTop w:val="0"/>
      <w:marBottom w:val="0"/>
      <w:divBdr>
        <w:top w:val="none" w:sz="0" w:space="0" w:color="auto"/>
        <w:left w:val="none" w:sz="0" w:space="0" w:color="auto"/>
        <w:bottom w:val="none" w:sz="0" w:space="0" w:color="auto"/>
        <w:right w:val="none" w:sz="0" w:space="0" w:color="auto"/>
      </w:divBdr>
      <w:divsChild>
        <w:div w:id="21177727">
          <w:marLeft w:val="288"/>
          <w:marRight w:val="0"/>
          <w:marTop w:val="0"/>
          <w:marBottom w:val="60"/>
          <w:divBdr>
            <w:top w:val="none" w:sz="0" w:space="0" w:color="auto"/>
            <w:left w:val="none" w:sz="0" w:space="0" w:color="auto"/>
            <w:bottom w:val="none" w:sz="0" w:space="0" w:color="auto"/>
            <w:right w:val="none" w:sz="0" w:space="0" w:color="auto"/>
          </w:divBdr>
        </w:div>
        <w:div w:id="1440489884">
          <w:marLeft w:val="288"/>
          <w:marRight w:val="0"/>
          <w:marTop w:val="0"/>
          <w:marBottom w:val="60"/>
          <w:divBdr>
            <w:top w:val="none" w:sz="0" w:space="0" w:color="auto"/>
            <w:left w:val="none" w:sz="0" w:space="0" w:color="auto"/>
            <w:bottom w:val="none" w:sz="0" w:space="0" w:color="auto"/>
            <w:right w:val="none" w:sz="0" w:space="0" w:color="auto"/>
          </w:divBdr>
        </w:div>
        <w:div w:id="1839496626">
          <w:marLeft w:val="288"/>
          <w:marRight w:val="0"/>
          <w:marTop w:val="0"/>
          <w:marBottom w:val="60"/>
          <w:divBdr>
            <w:top w:val="none" w:sz="0" w:space="0" w:color="auto"/>
            <w:left w:val="none" w:sz="0" w:space="0" w:color="auto"/>
            <w:bottom w:val="none" w:sz="0" w:space="0" w:color="auto"/>
            <w:right w:val="none" w:sz="0" w:space="0" w:color="auto"/>
          </w:divBdr>
        </w:div>
        <w:div w:id="1904486160">
          <w:marLeft w:val="288"/>
          <w:marRight w:val="0"/>
          <w:marTop w:val="0"/>
          <w:marBottom w:val="60"/>
          <w:divBdr>
            <w:top w:val="none" w:sz="0" w:space="0" w:color="auto"/>
            <w:left w:val="none" w:sz="0" w:space="0" w:color="auto"/>
            <w:bottom w:val="none" w:sz="0" w:space="0" w:color="auto"/>
            <w:right w:val="none" w:sz="0" w:space="0" w:color="auto"/>
          </w:divBdr>
        </w:div>
        <w:div w:id="1952853102">
          <w:marLeft w:val="288"/>
          <w:marRight w:val="0"/>
          <w:marTop w:val="0"/>
          <w:marBottom w:val="60"/>
          <w:divBdr>
            <w:top w:val="none" w:sz="0" w:space="0" w:color="auto"/>
            <w:left w:val="none" w:sz="0" w:space="0" w:color="auto"/>
            <w:bottom w:val="none" w:sz="0" w:space="0" w:color="auto"/>
            <w:right w:val="none" w:sz="0" w:space="0" w:color="auto"/>
          </w:divBdr>
        </w:div>
      </w:divsChild>
    </w:div>
    <w:div w:id="125856935">
      <w:bodyDiv w:val="1"/>
      <w:marLeft w:val="0"/>
      <w:marRight w:val="0"/>
      <w:marTop w:val="0"/>
      <w:marBottom w:val="0"/>
      <w:divBdr>
        <w:top w:val="none" w:sz="0" w:space="0" w:color="auto"/>
        <w:left w:val="none" w:sz="0" w:space="0" w:color="auto"/>
        <w:bottom w:val="none" w:sz="0" w:space="0" w:color="auto"/>
        <w:right w:val="none" w:sz="0" w:space="0" w:color="auto"/>
      </w:divBdr>
      <w:divsChild>
        <w:div w:id="163016516">
          <w:marLeft w:val="274"/>
          <w:marRight w:val="0"/>
          <w:marTop w:val="0"/>
          <w:marBottom w:val="60"/>
          <w:divBdr>
            <w:top w:val="none" w:sz="0" w:space="0" w:color="auto"/>
            <w:left w:val="none" w:sz="0" w:space="0" w:color="auto"/>
            <w:bottom w:val="none" w:sz="0" w:space="0" w:color="auto"/>
            <w:right w:val="none" w:sz="0" w:space="0" w:color="auto"/>
          </w:divBdr>
        </w:div>
        <w:div w:id="530186836">
          <w:marLeft w:val="274"/>
          <w:marRight w:val="0"/>
          <w:marTop w:val="0"/>
          <w:marBottom w:val="60"/>
          <w:divBdr>
            <w:top w:val="none" w:sz="0" w:space="0" w:color="auto"/>
            <w:left w:val="none" w:sz="0" w:space="0" w:color="auto"/>
            <w:bottom w:val="none" w:sz="0" w:space="0" w:color="auto"/>
            <w:right w:val="none" w:sz="0" w:space="0" w:color="auto"/>
          </w:divBdr>
        </w:div>
        <w:div w:id="618033417">
          <w:marLeft w:val="274"/>
          <w:marRight w:val="0"/>
          <w:marTop w:val="0"/>
          <w:marBottom w:val="60"/>
          <w:divBdr>
            <w:top w:val="none" w:sz="0" w:space="0" w:color="auto"/>
            <w:left w:val="none" w:sz="0" w:space="0" w:color="auto"/>
            <w:bottom w:val="none" w:sz="0" w:space="0" w:color="auto"/>
            <w:right w:val="none" w:sz="0" w:space="0" w:color="auto"/>
          </w:divBdr>
        </w:div>
        <w:div w:id="850409328">
          <w:marLeft w:val="274"/>
          <w:marRight w:val="0"/>
          <w:marTop w:val="0"/>
          <w:marBottom w:val="60"/>
          <w:divBdr>
            <w:top w:val="none" w:sz="0" w:space="0" w:color="auto"/>
            <w:left w:val="none" w:sz="0" w:space="0" w:color="auto"/>
            <w:bottom w:val="none" w:sz="0" w:space="0" w:color="auto"/>
            <w:right w:val="none" w:sz="0" w:space="0" w:color="auto"/>
          </w:divBdr>
        </w:div>
        <w:div w:id="1434008087">
          <w:marLeft w:val="274"/>
          <w:marRight w:val="0"/>
          <w:marTop w:val="0"/>
          <w:marBottom w:val="60"/>
          <w:divBdr>
            <w:top w:val="none" w:sz="0" w:space="0" w:color="auto"/>
            <w:left w:val="none" w:sz="0" w:space="0" w:color="auto"/>
            <w:bottom w:val="none" w:sz="0" w:space="0" w:color="auto"/>
            <w:right w:val="none" w:sz="0" w:space="0" w:color="auto"/>
          </w:divBdr>
        </w:div>
        <w:div w:id="1435050890">
          <w:marLeft w:val="274"/>
          <w:marRight w:val="0"/>
          <w:marTop w:val="0"/>
          <w:marBottom w:val="60"/>
          <w:divBdr>
            <w:top w:val="none" w:sz="0" w:space="0" w:color="auto"/>
            <w:left w:val="none" w:sz="0" w:space="0" w:color="auto"/>
            <w:bottom w:val="none" w:sz="0" w:space="0" w:color="auto"/>
            <w:right w:val="none" w:sz="0" w:space="0" w:color="auto"/>
          </w:divBdr>
        </w:div>
        <w:div w:id="1683972300">
          <w:marLeft w:val="274"/>
          <w:marRight w:val="0"/>
          <w:marTop w:val="0"/>
          <w:marBottom w:val="60"/>
          <w:divBdr>
            <w:top w:val="none" w:sz="0" w:space="0" w:color="auto"/>
            <w:left w:val="none" w:sz="0" w:space="0" w:color="auto"/>
            <w:bottom w:val="none" w:sz="0" w:space="0" w:color="auto"/>
            <w:right w:val="none" w:sz="0" w:space="0" w:color="auto"/>
          </w:divBdr>
        </w:div>
      </w:divsChild>
    </w:div>
    <w:div w:id="298463035">
      <w:bodyDiv w:val="1"/>
      <w:marLeft w:val="0"/>
      <w:marRight w:val="0"/>
      <w:marTop w:val="0"/>
      <w:marBottom w:val="0"/>
      <w:divBdr>
        <w:top w:val="none" w:sz="0" w:space="0" w:color="auto"/>
        <w:left w:val="none" w:sz="0" w:space="0" w:color="auto"/>
        <w:bottom w:val="none" w:sz="0" w:space="0" w:color="auto"/>
        <w:right w:val="none" w:sz="0" w:space="0" w:color="auto"/>
      </w:divBdr>
      <w:divsChild>
        <w:div w:id="579288859">
          <w:marLeft w:val="288"/>
          <w:marRight w:val="0"/>
          <w:marTop w:val="0"/>
          <w:marBottom w:val="160"/>
          <w:divBdr>
            <w:top w:val="none" w:sz="0" w:space="0" w:color="auto"/>
            <w:left w:val="none" w:sz="0" w:space="0" w:color="auto"/>
            <w:bottom w:val="none" w:sz="0" w:space="0" w:color="auto"/>
            <w:right w:val="none" w:sz="0" w:space="0" w:color="auto"/>
          </w:divBdr>
        </w:div>
        <w:div w:id="1180390729">
          <w:marLeft w:val="288"/>
          <w:marRight w:val="0"/>
          <w:marTop w:val="0"/>
          <w:marBottom w:val="160"/>
          <w:divBdr>
            <w:top w:val="none" w:sz="0" w:space="0" w:color="auto"/>
            <w:left w:val="none" w:sz="0" w:space="0" w:color="auto"/>
            <w:bottom w:val="none" w:sz="0" w:space="0" w:color="auto"/>
            <w:right w:val="none" w:sz="0" w:space="0" w:color="auto"/>
          </w:divBdr>
        </w:div>
        <w:div w:id="2055881273">
          <w:marLeft w:val="288"/>
          <w:marRight w:val="0"/>
          <w:marTop w:val="0"/>
          <w:marBottom w:val="160"/>
          <w:divBdr>
            <w:top w:val="none" w:sz="0" w:space="0" w:color="auto"/>
            <w:left w:val="none" w:sz="0" w:space="0" w:color="auto"/>
            <w:bottom w:val="none" w:sz="0" w:space="0" w:color="auto"/>
            <w:right w:val="none" w:sz="0" w:space="0" w:color="auto"/>
          </w:divBdr>
        </w:div>
      </w:divsChild>
    </w:div>
    <w:div w:id="339430924">
      <w:bodyDiv w:val="1"/>
      <w:marLeft w:val="0"/>
      <w:marRight w:val="0"/>
      <w:marTop w:val="0"/>
      <w:marBottom w:val="0"/>
      <w:divBdr>
        <w:top w:val="none" w:sz="0" w:space="0" w:color="auto"/>
        <w:left w:val="none" w:sz="0" w:space="0" w:color="auto"/>
        <w:bottom w:val="none" w:sz="0" w:space="0" w:color="auto"/>
        <w:right w:val="none" w:sz="0" w:space="0" w:color="auto"/>
      </w:divBdr>
    </w:div>
    <w:div w:id="394082674">
      <w:bodyDiv w:val="1"/>
      <w:marLeft w:val="0"/>
      <w:marRight w:val="0"/>
      <w:marTop w:val="0"/>
      <w:marBottom w:val="0"/>
      <w:divBdr>
        <w:top w:val="none" w:sz="0" w:space="0" w:color="auto"/>
        <w:left w:val="none" w:sz="0" w:space="0" w:color="auto"/>
        <w:bottom w:val="none" w:sz="0" w:space="0" w:color="auto"/>
        <w:right w:val="none" w:sz="0" w:space="0" w:color="auto"/>
      </w:divBdr>
    </w:div>
    <w:div w:id="448206895">
      <w:bodyDiv w:val="1"/>
      <w:marLeft w:val="0"/>
      <w:marRight w:val="0"/>
      <w:marTop w:val="0"/>
      <w:marBottom w:val="0"/>
      <w:divBdr>
        <w:top w:val="none" w:sz="0" w:space="0" w:color="auto"/>
        <w:left w:val="none" w:sz="0" w:space="0" w:color="auto"/>
        <w:bottom w:val="none" w:sz="0" w:space="0" w:color="auto"/>
        <w:right w:val="none" w:sz="0" w:space="0" w:color="auto"/>
      </w:divBdr>
      <w:divsChild>
        <w:div w:id="310672805">
          <w:marLeft w:val="274"/>
          <w:marRight w:val="0"/>
          <w:marTop w:val="0"/>
          <w:marBottom w:val="120"/>
          <w:divBdr>
            <w:top w:val="none" w:sz="0" w:space="0" w:color="auto"/>
            <w:left w:val="none" w:sz="0" w:space="0" w:color="auto"/>
            <w:bottom w:val="none" w:sz="0" w:space="0" w:color="auto"/>
            <w:right w:val="none" w:sz="0" w:space="0" w:color="auto"/>
          </w:divBdr>
        </w:div>
        <w:div w:id="592712421">
          <w:marLeft w:val="274"/>
          <w:marRight w:val="0"/>
          <w:marTop w:val="0"/>
          <w:marBottom w:val="120"/>
          <w:divBdr>
            <w:top w:val="none" w:sz="0" w:space="0" w:color="auto"/>
            <w:left w:val="none" w:sz="0" w:space="0" w:color="auto"/>
            <w:bottom w:val="none" w:sz="0" w:space="0" w:color="auto"/>
            <w:right w:val="none" w:sz="0" w:space="0" w:color="auto"/>
          </w:divBdr>
        </w:div>
        <w:div w:id="671224210">
          <w:marLeft w:val="274"/>
          <w:marRight w:val="0"/>
          <w:marTop w:val="0"/>
          <w:marBottom w:val="120"/>
          <w:divBdr>
            <w:top w:val="none" w:sz="0" w:space="0" w:color="auto"/>
            <w:left w:val="none" w:sz="0" w:space="0" w:color="auto"/>
            <w:bottom w:val="none" w:sz="0" w:space="0" w:color="auto"/>
            <w:right w:val="none" w:sz="0" w:space="0" w:color="auto"/>
          </w:divBdr>
        </w:div>
      </w:divsChild>
    </w:div>
    <w:div w:id="539126649">
      <w:bodyDiv w:val="1"/>
      <w:marLeft w:val="0"/>
      <w:marRight w:val="0"/>
      <w:marTop w:val="0"/>
      <w:marBottom w:val="0"/>
      <w:divBdr>
        <w:top w:val="none" w:sz="0" w:space="0" w:color="auto"/>
        <w:left w:val="none" w:sz="0" w:space="0" w:color="auto"/>
        <w:bottom w:val="none" w:sz="0" w:space="0" w:color="auto"/>
        <w:right w:val="none" w:sz="0" w:space="0" w:color="auto"/>
      </w:divBdr>
      <w:divsChild>
        <w:div w:id="431365211">
          <w:marLeft w:val="288"/>
          <w:marRight w:val="0"/>
          <w:marTop w:val="0"/>
          <w:marBottom w:val="120"/>
          <w:divBdr>
            <w:top w:val="none" w:sz="0" w:space="0" w:color="auto"/>
            <w:left w:val="none" w:sz="0" w:space="0" w:color="auto"/>
            <w:bottom w:val="none" w:sz="0" w:space="0" w:color="auto"/>
            <w:right w:val="none" w:sz="0" w:space="0" w:color="auto"/>
          </w:divBdr>
        </w:div>
        <w:div w:id="571089863">
          <w:marLeft w:val="288"/>
          <w:marRight w:val="0"/>
          <w:marTop w:val="0"/>
          <w:marBottom w:val="120"/>
          <w:divBdr>
            <w:top w:val="none" w:sz="0" w:space="0" w:color="auto"/>
            <w:left w:val="none" w:sz="0" w:space="0" w:color="auto"/>
            <w:bottom w:val="none" w:sz="0" w:space="0" w:color="auto"/>
            <w:right w:val="none" w:sz="0" w:space="0" w:color="auto"/>
          </w:divBdr>
        </w:div>
        <w:div w:id="997001111">
          <w:marLeft w:val="288"/>
          <w:marRight w:val="0"/>
          <w:marTop w:val="0"/>
          <w:marBottom w:val="120"/>
          <w:divBdr>
            <w:top w:val="none" w:sz="0" w:space="0" w:color="auto"/>
            <w:left w:val="none" w:sz="0" w:space="0" w:color="auto"/>
            <w:bottom w:val="none" w:sz="0" w:space="0" w:color="auto"/>
            <w:right w:val="none" w:sz="0" w:space="0" w:color="auto"/>
          </w:divBdr>
        </w:div>
        <w:div w:id="1596593354">
          <w:marLeft w:val="288"/>
          <w:marRight w:val="0"/>
          <w:marTop w:val="0"/>
          <w:marBottom w:val="120"/>
          <w:divBdr>
            <w:top w:val="none" w:sz="0" w:space="0" w:color="auto"/>
            <w:left w:val="none" w:sz="0" w:space="0" w:color="auto"/>
            <w:bottom w:val="none" w:sz="0" w:space="0" w:color="auto"/>
            <w:right w:val="none" w:sz="0" w:space="0" w:color="auto"/>
          </w:divBdr>
        </w:div>
      </w:divsChild>
    </w:div>
    <w:div w:id="560404961">
      <w:bodyDiv w:val="1"/>
      <w:marLeft w:val="0"/>
      <w:marRight w:val="0"/>
      <w:marTop w:val="0"/>
      <w:marBottom w:val="0"/>
      <w:divBdr>
        <w:top w:val="none" w:sz="0" w:space="0" w:color="auto"/>
        <w:left w:val="none" w:sz="0" w:space="0" w:color="auto"/>
        <w:bottom w:val="none" w:sz="0" w:space="0" w:color="auto"/>
        <w:right w:val="none" w:sz="0" w:space="0" w:color="auto"/>
      </w:divBdr>
      <w:divsChild>
        <w:div w:id="494036680">
          <w:marLeft w:val="288"/>
          <w:marRight w:val="0"/>
          <w:marTop w:val="0"/>
          <w:marBottom w:val="160"/>
          <w:divBdr>
            <w:top w:val="none" w:sz="0" w:space="0" w:color="auto"/>
            <w:left w:val="none" w:sz="0" w:space="0" w:color="auto"/>
            <w:bottom w:val="none" w:sz="0" w:space="0" w:color="auto"/>
            <w:right w:val="none" w:sz="0" w:space="0" w:color="auto"/>
          </w:divBdr>
        </w:div>
        <w:div w:id="935018274">
          <w:marLeft w:val="288"/>
          <w:marRight w:val="0"/>
          <w:marTop w:val="0"/>
          <w:marBottom w:val="160"/>
          <w:divBdr>
            <w:top w:val="none" w:sz="0" w:space="0" w:color="auto"/>
            <w:left w:val="none" w:sz="0" w:space="0" w:color="auto"/>
            <w:bottom w:val="none" w:sz="0" w:space="0" w:color="auto"/>
            <w:right w:val="none" w:sz="0" w:space="0" w:color="auto"/>
          </w:divBdr>
        </w:div>
        <w:div w:id="1943100593">
          <w:marLeft w:val="288"/>
          <w:marRight w:val="0"/>
          <w:marTop w:val="0"/>
          <w:marBottom w:val="160"/>
          <w:divBdr>
            <w:top w:val="none" w:sz="0" w:space="0" w:color="auto"/>
            <w:left w:val="none" w:sz="0" w:space="0" w:color="auto"/>
            <w:bottom w:val="none" w:sz="0" w:space="0" w:color="auto"/>
            <w:right w:val="none" w:sz="0" w:space="0" w:color="auto"/>
          </w:divBdr>
        </w:div>
      </w:divsChild>
    </w:div>
    <w:div w:id="599879060">
      <w:bodyDiv w:val="1"/>
      <w:marLeft w:val="0"/>
      <w:marRight w:val="0"/>
      <w:marTop w:val="0"/>
      <w:marBottom w:val="0"/>
      <w:divBdr>
        <w:top w:val="none" w:sz="0" w:space="0" w:color="auto"/>
        <w:left w:val="none" w:sz="0" w:space="0" w:color="auto"/>
        <w:bottom w:val="none" w:sz="0" w:space="0" w:color="auto"/>
        <w:right w:val="none" w:sz="0" w:space="0" w:color="auto"/>
      </w:divBdr>
      <w:divsChild>
        <w:div w:id="288584944">
          <w:marLeft w:val="274"/>
          <w:marRight w:val="0"/>
          <w:marTop w:val="0"/>
          <w:marBottom w:val="40"/>
          <w:divBdr>
            <w:top w:val="none" w:sz="0" w:space="0" w:color="auto"/>
            <w:left w:val="none" w:sz="0" w:space="0" w:color="auto"/>
            <w:bottom w:val="none" w:sz="0" w:space="0" w:color="auto"/>
            <w:right w:val="none" w:sz="0" w:space="0" w:color="auto"/>
          </w:divBdr>
        </w:div>
        <w:div w:id="324280447">
          <w:marLeft w:val="274"/>
          <w:marRight w:val="0"/>
          <w:marTop w:val="0"/>
          <w:marBottom w:val="40"/>
          <w:divBdr>
            <w:top w:val="none" w:sz="0" w:space="0" w:color="auto"/>
            <w:left w:val="none" w:sz="0" w:space="0" w:color="auto"/>
            <w:bottom w:val="none" w:sz="0" w:space="0" w:color="auto"/>
            <w:right w:val="none" w:sz="0" w:space="0" w:color="auto"/>
          </w:divBdr>
        </w:div>
        <w:div w:id="673846247">
          <w:marLeft w:val="274"/>
          <w:marRight w:val="0"/>
          <w:marTop w:val="0"/>
          <w:marBottom w:val="40"/>
          <w:divBdr>
            <w:top w:val="none" w:sz="0" w:space="0" w:color="auto"/>
            <w:left w:val="none" w:sz="0" w:space="0" w:color="auto"/>
            <w:bottom w:val="none" w:sz="0" w:space="0" w:color="auto"/>
            <w:right w:val="none" w:sz="0" w:space="0" w:color="auto"/>
          </w:divBdr>
        </w:div>
        <w:div w:id="1025130081">
          <w:marLeft w:val="274"/>
          <w:marRight w:val="0"/>
          <w:marTop w:val="0"/>
          <w:marBottom w:val="40"/>
          <w:divBdr>
            <w:top w:val="none" w:sz="0" w:space="0" w:color="auto"/>
            <w:left w:val="none" w:sz="0" w:space="0" w:color="auto"/>
            <w:bottom w:val="none" w:sz="0" w:space="0" w:color="auto"/>
            <w:right w:val="none" w:sz="0" w:space="0" w:color="auto"/>
          </w:divBdr>
        </w:div>
        <w:div w:id="1042945310">
          <w:marLeft w:val="274"/>
          <w:marRight w:val="0"/>
          <w:marTop w:val="0"/>
          <w:marBottom w:val="40"/>
          <w:divBdr>
            <w:top w:val="none" w:sz="0" w:space="0" w:color="auto"/>
            <w:left w:val="none" w:sz="0" w:space="0" w:color="auto"/>
            <w:bottom w:val="none" w:sz="0" w:space="0" w:color="auto"/>
            <w:right w:val="none" w:sz="0" w:space="0" w:color="auto"/>
          </w:divBdr>
        </w:div>
        <w:div w:id="1604999298">
          <w:marLeft w:val="274"/>
          <w:marRight w:val="0"/>
          <w:marTop w:val="0"/>
          <w:marBottom w:val="40"/>
          <w:divBdr>
            <w:top w:val="none" w:sz="0" w:space="0" w:color="auto"/>
            <w:left w:val="none" w:sz="0" w:space="0" w:color="auto"/>
            <w:bottom w:val="none" w:sz="0" w:space="0" w:color="auto"/>
            <w:right w:val="none" w:sz="0" w:space="0" w:color="auto"/>
          </w:divBdr>
        </w:div>
        <w:div w:id="1659993042">
          <w:marLeft w:val="274"/>
          <w:marRight w:val="0"/>
          <w:marTop w:val="0"/>
          <w:marBottom w:val="40"/>
          <w:divBdr>
            <w:top w:val="none" w:sz="0" w:space="0" w:color="auto"/>
            <w:left w:val="none" w:sz="0" w:space="0" w:color="auto"/>
            <w:bottom w:val="none" w:sz="0" w:space="0" w:color="auto"/>
            <w:right w:val="none" w:sz="0" w:space="0" w:color="auto"/>
          </w:divBdr>
        </w:div>
        <w:div w:id="1702053907">
          <w:marLeft w:val="274"/>
          <w:marRight w:val="0"/>
          <w:marTop w:val="0"/>
          <w:marBottom w:val="40"/>
          <w:divBdr>
            <w:top w:val="none" w:sz="0" w:space="0" w:color="auto"/>
            <w:left w:val="none" w:sz="0" w:space="0" w:color="auto"/>
            <w:bottom w:val="none" w:sz="0" w:space="0" w:color="auto"/>
            <w:right w:val="none" w:sz="0" w:space="0" w:color="auto"/>
          </w:divBdr>
        </w:div>
        <w:div w:id="1873229790">
          <w:marLeft w:val="274"/>
          <w:marRight w:val="0"/>
          <w:marTop w:val="0"/>
          <w:marBottom w:val="40"/>
          <w:divBdr>
            <w:top w:val="none" w:sz="0" w:space="0" w:color="auto"/>
            <w:left w:val="none" w:sz="0" w:space="0" w:color="auto"/>
            <w:bottom w:val="none" w:sz="0" w:space="0" w:color="auto"/>
            <w:right w:val="none" w:sz="0" w:space="0" w:color="auto"/>
          </w:divBdr>
        </w:div>
      </w:divsChild>
    </w:div>
    <w:div w:id="628702489">
      <w:bodyDiv w:val="1"/>
      <w:marLeft w:val="0"/>
      <w:marRight w:val="0"/>
      <w:marTop w:val="0"/>
      <w:marBottom w:val="0"/>
      <w:divBdr>
        <w:top w:val="none" w:sz="0" w:space="0" w:color="auto"/>
        <w:left w:val="none" w:sz="0" w:space="0" w:color="auto"/>
        <w:bottom w:val="none" w:sz="0" w:space="0" w:color="auto"/>
        <w:right w:val="none" w:sz="0" w:space="0" w:color="auto"/>
      </w:divBdr>
      <w:divsChild>
        <w:div w:id="16544728">
          <w:marLeft w:val="274"/>
          <w:marRight w:val="0"/>
          <w:marTop w:val="0"/>
          <w:marBottom w:val="80"/>
          <w:divBdr>
            <w:top w:val="none" w:sz="0" w:space="0" w:color="auto"/>
            <w:left w:val="none" w:sz="0" w:space="0" w:color="auto"/>
            <w:bottom w:val="none" w:sz="0" w:space="0" w:color="auto"/>
            <w:right w:val="none" w:sz="0" w:space="0" w:color="auto"/>
          </w:divBdr>
        </w:div>
        <w:div w:id="1494295152">
          <w:marLeft w:val="274"/>
          <w:marRight w:val="0"/>
          <w:marTop w:val="0"/>
          <w:marBottom w:val="80"/>
          <w:divBdr>
            <w:top w:val="none" w:sz="0" w:space="0" w:color="auto"/>
            <w:left w:val="none" w:sz="0" w:space="0" w:color="auto"/>
            <w:bottom w:val="none" w:sz="0" w:space="0" w:color="auto"/>
            <w:right w:val="none" w:sz="0" w:space="0" w:color="auto"/>
          </w:divBdr>
        </w:div>
        <w:div w:id="1927839647">
          <w:marLeft w:val="274"/>
          <w:marRight w:val="0"/>
          <w:marTop w:val="0"/>
          <w:marBottom w:val="80"/>
          <w:divBdr>
            <w:top w:val="none" w:sz="0" w:space="0" w:color="auto"/>
            <w:left w:val="none" w:sz="0" w:space="0" w:color="auto"/>
            <w:bottom w:val="none" w:sz="0" w:space="0" w:color="auto"/>
            <w:right w:val="none" w:sz="0" w:space="0" w:color="auto"/>
          </w:divBdr>
        </w:div>
      </w:divsChild>
    </w:div>
    <w:div w:id="636496225">
      <w:bodyDiv w:val="1"/>
      <w:marLeft w:val="0"/>
      <w:marRight w:val="0"/>
      <w:marTop w:val="0"/>
      <w:marBottom w:val="0"/>
      <w:divBdr>
        <w:top w:val="none" w:sz="0" w:space="0" w:color="auto"/>
        <w:left w:val="none" w:sz="0" w:space="0" w:color="auto"/>
        <w:bottom w:val="none" w:sz="0" w:space="0" w:color="auto"/>
        <w:right w:val="none" w:sz="0" w:space="0" w:color="auto"/>
      </w:divBdr>
      <w:divsChild>
        <w:div w:id="501968371">
          <w:marLeft w:val="288"/>
          <w:marRight w:val="0"/>
          <w:marTop w:val="0"/>
          <w:marBottom w:val="60"/>
          <w:divBdr>
            <w:top w:val="none" w:sz="0" w:space="0" w:color="auto"/>
            <w:left w:val="none" w:sz="0" w:space="0" w:color="auto"/>
            <w:bottom w:val="none" w:sz="0" w:space="0" w:color="auto"/>
            <w:right w:val="none" w:sz="0" w:space="0" w:color="auto"/>
          </w:divBdr>
        </w:div>
        <w:div w:id="1119911797">
          <w:marLeft w:val="288"/>
          <w:marRight w:val="0"/>
          <w:marTop w:val="0"/>
          <w:marBottom w:val="60"/>
          <w:divBdr>
            <w:top w:val="none" w:sz="0" w:space="0" w:color="auto"/>
            <w:left w:val="none" w:sz="0" w:space="0" w:color="auto"/>
            <w:bottom w:val="none" w:sz="0" w:space="0" w:color="auto"/>
            <w:right w:val="none" w:sz="0" w:space="0" w:color="auto"/>
          </w:divBdr>
        </w:div>
        <w:div w:id="1492715015">
          <w:marLeft w:val="288"/>
          <w:marRight w:val="0"/>
          <w:marTop w:val="0"/>
          <w:marBottom w:val="60"/>
          <w:divBdr>
            <w:top w:val="none" w:sz="0" w:space="0" w:color="auto"/>
            <w:left w:val="none" w:sz="0" w:space="0" w:color="auto"/>
            <w:bottom w:val="none" w:sz="0" w:space="0" w:color="auto"/>
            <w:right w:val="none" w:sz="0" w:space="0" w:color="auto"/>
          </w:divBdr>
        </w:div>
        <w:div w:id="1683161296">
          <w:marLeft w:val="288"/>
          <w:marRight w:val="0"/>
          <w:marTop w:val="0"/>
          <w:marBottom w:val="60"/>
          <w:divBdr>
            <w:top w:val="none" w:sz="0" w:space="0" w:color="auto"/>
            <w:left w:val="none" w:sz="0" w:space="0" w:color="auto"/>
            <w:bottom w:val="none" w:sz="0" w:space="0" w:color="auto"/>
            <w:right w:val="none" w:sz="0" w:space="0" w:color="auto"/>
          </w:divBdr>
        </w:div>
        <w:div w:id="2121411500">
          <w:marLeft w:val="288"/>
          <w:marRight w:val="0"/>
          <w:marTop w:val="0"/>
          <w:marBottom w:val="60"/>
          <w:divBdr>
            <w:top w:val="none" w:sz="0" w:space="0" w:color="auto"/>
            <w:left w:val="none" w:sz="0" w:space="0" w:color="auto"/>
            <w:bottom w:val="none" w:sz="0" w:space="0" w:color="auto"/>
            <w:right w:val="none" w:sz="0" w:space="0" w:color="auto"/>
          </w:divBdr>
        </w:div>
      </w:divsChild>
    </w:div>
    <w:div w:id="645010739">
      <w:bodyDiv w:val="1"/>
      <w:marLeft w:val="0"/>
      <w:marRight w:val="0"/>
      <w:marTop w:val="0"/>
      <w:marBottom w:val="0"/>
      <w:divBdr>
        <w:top w:val="none" w:sz="0" w:space="0" w:color="auto"/>
        <w:left w:val="none" w:sz="0" w:space="0" w:color="auto"/>
        <w:bottom w:val="none" w:sz="0" w:space="0" w:color="auto"/>
        <w:right w:val="none" w:sz="0" w:space="0" w:color="auto"/>
      </w:divBdr>
      <w:divsChild>
        <w:div w:id="998115546">
          <w:marLeft w:val="274"/>
          <w:marRight w:val="0"/>
          <w:marTop w:val="0"/>
          <w:marBottom w:val="120"/>
          <w:divBdr>
            <w:top w:val="none" w:sz="0" w:space="0" w:color="auto"/>
            <w:left w:val="none" w:sz="0" w:space="0" w:color="auto"/>
            <w:bottom w:val="none" w:sz="0" w:space="0" w:color="auto"/>
            <w:right w:val="none" w:sz="0" w:space="0" w:color="auto"/>
          </w:divBdr>
        </w:div>
      </w:divsChild>
    </w:div>
    <w:div w:id="669482974">
      <w:bodyDiv w:val="1"/>
      <w:marLeft w:val="0"/>
      <w:marRight w:val="0"/>
      <w:marTop w:val="0"/>
      <w:marBottom w:val="0"/>
      <w:divBdr>
        <w:top w:val="none" w:sz="0" w:space="0" w:color="auto"/>
        <w:left w:val="none" w:sz="0" w:space="0" w:color="auto"/>
        <w:bottom w:val="none" w:sz="0" w:space="0" w:color="auto"/>
        <w:right w:val="none" w:sz="0" w:space="0" w:color="auto"/>
      </w:divBdr>
    </w:div>
    <w:div w:id="676158311">
      <w:bodyDiv w:val="1"/>
      <w:marLeft w:val="0"/>
      <w:marRight w:val="0"/>
      <w:marTop w:val="0"/>
      <w:marBottom w:val="0"/>
      <w:divBdr>
        <w:top w:val="none" w:sz="0" w:space="0" w:color="auto"/>
        <w:left w:val="none" w:sz="0" w:space="0" w:color="auto"/>
        <w:bottom w:val="none" w:sz="0" w:space="0" w:color="auto"/>
        <w:right w:val="none" w:sz="0" w:space="0" w:color="auto"/>
      </w:divBdr>
    </w:div>
    <w:div w:id="724181269">
      <w:bodyDiv w:val="1"/>
      <w:marLeft w:val="0"/>
      <w:marRight w:val="0"/>
      <w:marTop w:val="0"/>
      <w:marBottom w:val="0"/>
      <w:divBdr>
        <w:top w:val="none" w:sz="0" w:space="0" w:color="auto"/>
        <w:left w:val="none" w:sz="0" w:space="0" w:color="auto"/>
        <w:bottom w:val="none" w:sz="0" w:space="0" w:color="auto"/>
        <w:right w:val="none" w:sz="0" w:space="0" w:color="auto"/>
      </w:divBdr>
      <w:divsChild>
        <w:div w:id="546063676">
          <w:marLeft w:val="288"/>
          <w:marRight w:val="0"/>
          <w:marTop w:val="0"/>
          <w:marBottom w:val="120"/>
          <w:divBdr>
            <w:top w:val="none" w:sz="0" w:space="0" w:color="auto"/>
            <w:left w:val="none" w:sz="0" w:space="0" w:color="auto"/>
            <w:bottom w:val="none" w:sz="0" w:space="0" w:color="auto"/>
            <w:right w:val="none" w:sz="0" w:space="0" w:color="auto"/>
          </w:divBdr>
        </w:div>
        <w:div w:id="781994127">
          <w:marLeft w:val="288"/>
          <w:marRight w:val="0"/>
          <w:marTop w:val="0"/>
          <w:marBottom w:val="120"/>
          <w:divBdr>
            <w:top w:val="none" w:sz="0" w:space="0" w:color="auto"/>
            <w:left w:val="none" w:sz="0" w:space="0" w:color="auto"/>
            <w:bottom w:val="none" w:sz="0" w:space="0" w:color="auto"/>
            <w:right w:val="none" w:sz="0" w:space="0" w:color="auto"/>
          </w:divBdr>
        </w:div>
        <w:div w:id="1203984459">
          <w:marLeft w:val="288"/>
          <w:marRight w:val="0"/>
          <w:marTop w:val="0"/>
          <w:marBottom w:val="120"/>
          <w:divBdr>
            <w:top w:val="none" w:sz="0" w:space="0" w:color="auto"/>
            <w:left w:val="none" w:sz="0" w:space="0" w:color="auto"/>
            <w:bottom w:val="none" w:sz="0" w:space="0" w:color="auto"/>
            <w:right w:val="none" w:sz="0" w:space="0" w:color="auto"/>
          </w:divBdr>
        </w:div>
        <w:div w:id="1300302168">
          <w:marLeft w:val="288"/>
          <w:marRight w:val="0"/>
          <w:marTop w:val="0"/>
          <w:marBottom w:val="120"/>
          <w:divBdr>
            <w:top w:val="none" w:sz="0" w:space="0" w:color="auto"/>
            <w:left w:val="none" w:sz="0" w:space="0" w:color="auto"/>
            <w:bottom w:val="none" w:sz="0" w:space="0" w:color="auto"/>
            <w:right w:val="none" w:sz="0" w:space="0" w:color="auto"/>
          </w:divBdr>
        </w:div>
        <w:div w:id="1574198676">
          <w:marLeft w:val="288"/>
          <w:marRight w:val="0"/>
          <w:marTop w:val="0"/>
          <w:marBottom w:val="120"/>
          <w:divBdr>
            <w:top w:val="none" w:sz="0" w:space="0" w:color="auto"/>
            <w:left w:val="none" w:sz="0" w:space="0" w:color="auto"/>
            <w:bottom w:val="none" w:sz="0" w:space="0" w:color="auto"/>
            <w:right w:val="none" w:sz="0" w:space="0" w:color="auto"/>
          </w:divBdr>
        </w:div>
        <w:div w:id="1723867350">
          <w:marLeft w:val="288"/>
          <w:marRight w:val="0"/>
          <w:marTop w:val="0"/>
          <w:marBottom w:val="120"/>
          <w:divBdr>
            <w:top w:val="none" w:sz="0" w:space="0" w:color="auto"/>
            <w:left w:val="none" w:sz="0" w:space="0" w:color="auto"/>
            <w:bottom w:val="none" w:sz="0" w:space="0" w:color="auto"/>
            <w:right w:val="none" w:sz="0" w:space="0" w:color="auto"/>
          </w:divBdr>
        </w:div>
      </w:divsChild>
    </w:div>
    <w:div w:id="729690100">
      <w:bodyDiv w:val="1"/>
      <w:marLeft w:val="0"/>
      <w:marRight w:val="0"/>
      <w:marTop w:val="0"/>
      <w:marBottom w:val="0"/>
      <w:divBdr>
        <w:top w:val="none" w:sz="0" w:space="0" w:color="auto"/>
        <w:left w:val="none" w:sz="0" w:space="0" w:color="auto"/>
        <w:bottom w:val="none" w:sz="0" w:space="0" w:color="auto"/>
        <w:right w:val="none" w:sz="0" w:space="0" w:color="auto"/>
      </w:divBdr>
      <w:divsChild>
        <w:div w:id="69736936">
          <w:marLeft w:val="274"/>
          <w:marRight w:val="0"/>
          <w:marTop w:val="0"/>
          <w:marBottom w:val="40"/>
          <w:divBdr>
            <w:top w:val="none" w:sz="0" w:space="0" w:color="auto"/>
            <w:left w:val="none" w:sz="0" w:space="0" w:color="auto"/>
            <w:bottom w:val="none" w:sz="0" w:space="0" w:color="auto"/>
            <w:right w:val="none" w:sz="0" w:space="0" w:color="auto"/>
          </w:divBdr>
        </w:div>
        <w:div w:id="229464945">
          <w:marLeft w:val="274"/>
          <w:marRight w:val="0"/>
          <w:marTop w:val="0"/>
          <w:marBottom w:val="40"/>
          <w:divBdr>
            <w:top w:val="none" w:sz="0" w:space="0" w:color="auto"/>
            <w:left w:val="none" w:sz="0" w:space="0" w:color="auto"/>
            <w:bottom w:val="none" w:sz="0" w:space="0" w:color="auto"/>
            <w:right w:val="none" w:sz="0" w:space="0" w:color="auto"/>
          </w:divBdr>
        </w:div>
        <w:div w:id="359863603">
          <w:marLeft w:val="274"/>
          <w:marRight w:val="0"/>
          <w:marTop w:val="0"/>
          <w:marBottom w:val="40"/>
          <w:divBdr>
            <w:top w:val="none" w:sz="0" w:space="0" w:color="auto"/>
            <w:left w:val="none" w:sz="0" w:space="0" w:color="auto"/>
            <w:bottom w:val="none" w:sz="0" w:space="0" w:color="auto"/>
            <w:right w:val="none" w:sz="0" w:space="0" w:color="auto"/>
          </w:divBdr>
        </w:div>
        <w:div w:id="571702672">
          <w:marLeft w:val="274"/>
          <w:marRight w:val="0"/>
          <w:marTop w:val="0"/>
          <w:marBottom w:val="40"/>
          <w:divBdr>
            <w:top w:val="none" w:sz="0" w:space="0" w:color="auto"/>
            <w:left w:val="none" w:sz="0" w:space="0" w:color="auto"/>
            <w:bottom w:val="none" w:sz="0" w:space="0" w:color="auto"/>
            <w:right w:val="none" w:sz="0" w:space="0" w:color="auto"/>
          </w:divBdr>
        </w:div>
        <w:div w:id="582420115">
          <w:marLeft w:val="274"/>
          <w:marRight w:val="0"/>
          <w:marTop w:val="0"/>
          <w:marBottom w:val="40"/>
          <w:divBdr>
            <w:top w:val="none" w:sz="0" w:space="0" w:color="auto"/>
            <w:left w:val="none" w:sz="0" w:space="0" w:color="auto"/>
            <w:bottom w:val="none" w:sz="0" w:space="0" w:color="auto"/>
            <w:right w:val="none" w:sz="0" w:space="0" w:color="auto"/>
          </w:divBdr>
        </w:div>
        <w:div w:id="843277826">
          <w:marLeft w:val="274"/>
          <w:marRight w:val="0"/>
          <w:marTop w:val="0"/>
          <w:marBottom w:val="40"/>
          <w:divBdr>
            <w:top w:val="none" w:sz="0" w:space="0" w:color="auto"/>
            <w:left w:val="none" w:sz="0" w:space="0" w:color="auto"/>
            <w:bottom w:val="none" w:sz="0" w:space="0" w:color="auto"/>
            <w:right w:val="none" w:sz="0" w:space="0" w:color="auto"/>
          </w:divBdr>
        </w:div>
        <w:div w:id="966349060">
          <w:marLeft w:val="274"/>
          <w:marRight w:val="0"/>
          <w:marTop w:val="0"/>
          <w:marBottom w:val="40"/>
          <w:divBdr>
            <w:top w:val="none" w:sz="0" w:space="0" w:color="auto"/>
            <w:left w:val="none" w:sz="0" w:space="0" w:color="auto"/>
            <w:bottom w:val="none" w:sz="0" w:space="0" w:color="auto"/>
            <w:right w:val="none" w:sz="0" w:space="0" w:color="auto"/>
          </w:divBdr>
        </w:div>
        <w:div w:id="972517588">
          <w:marLeft w:val="274"/>
          <w:marRight w:val="0"/>
          <w:marTop w:val="0"/>
          <w:marBottom w:val="40"/>
          <w:divBdr>
            <w:top w:val="none" w:sz="0" w:space="0" w:color="auto"/>
            <w:left w:val="none" w:sz="0" w:space="0" w:color="auto"/>
            <w:bottom w:val="none" w:sz="0" w:space="0" w:color="auto"/>
            <w:right w:val="none" w:sz="0" w:space="0" w:color="auto"/>
          </w:divBdr>
        </w:div>
        <w:div w:id="1871916425">
          <w:marLeft w:val="274"/>
          <w:marRight w:val="0"/>
          <w:marTop w:val="0"/>
          <w:marBottom w:val="40"/>
          <w:divBdr>
            <w:top w:val="none" w:sz="0" w:space="0" w:color="auto"/>
            <w:left w:val="none" w:sz="0" w:space="0" w:color="auto"/>
            <w:bottom w:val="none" w:sz="0" w:space="0" w:color="auto"/>
            <w:right w:val="none" w:sz="0" w:space="0" w:color="auto"/>
          </w:divBdr>
        </w:div>
      </w:divsChild>
    </w:div>
    <w:div w:id="746926434">
      <w:bodyDiv w:val="1"/>
      <w:marLeft w:val="0"/>
      <w:marRight w:val="0"/>
      <w:marTop w:val="0"/>
      <w:marBottom w:val="0"/>
      <w:divBdr>
        <w:top w:val="none" w:sz="0" w:space="0" w:color="auto"/>
        <w:left w:val="none" w:sz="0" w:space="0" w:color="auto"/>
        <w:bottom w:val="none" w:sz="0" w:space="0" w:color="auto"/>
        <w:right w:val="none" w:sz="0" w:space="0" w:color="auto"/>
      </w:divBdr>
    </w:div>
    <w:div w:id="753360867">
      <w:bodyDiv w:val="1"/>
      <w:marLeft w:val="0"/>
      <w:marRight w:val="0"/>
      <w:marTop w:val="0"/>
      <w:marBottom w:val="0"/>
      <w:divBdr>
        <w:top w:val="none" w:sz="0" w:space="0" w:color="auto"/>
        <w:left w:val="none" w:sz="0" w:space="0" w:color="auto"/>
        <w:bottom w:val="none" w:sz="0" w:space="0" w:color="auto"/>
        <w:right w:val="none" w:sz="0" w:space="0" w:color="auto"/>
      </w:divBdr>
      <w:divsChild>
        <w:div w:id="692388852">
          <w:marLeft w:val="288"/>
          <w:marRight w:val="0"/>
          <w:marTop w:val="0"/>
          <w:marBottom w:val="60"/>
          <w:divBdr>
            <w:top w:val="none" w:sz="0" w:space="0" w:color="auto"/>
            <w:left w:val="none" w:sz="0" w:space="0" w:color="auto"/>
            <w:bottom w:val="none" w:sz="0" w:space="0" w:color="auto"/>
            <w:right w:val="none" w:sz="0" w:space="0" w:color="auto"/>
          </w:divBdr>
        </w:div>
        <w:div w:id="1473987014">
          <w:marLeft w:val="288"/>
          <w:marRight w:val="0"/>
          <w:marTop w:val="0"/>
          <w:marBottom w:val="60"/>
          <w:divBdr>
            <w:top w:val="none" w:sz="0" w:space="0" w:color="auto"/>
            <w:left w:val="none" w:sz="0" w:space="0" w:color="auto"/>
            <w:bottom w:val="none" w:sz="0" w:space="0" w:color="auto"/>
            <w:right w:val="none" w:sz="0" w:space="0" w:color="auto"/>
          </w:divBdr>
        </w:div>
        <w:div w:id="1632591739">
          <w:marLeft w:val="288"/>
          <w:marRight w:val="0"/>
          <w:marTop w:val="0"/>
          <w:marBottom w:val="60"/>
          <w:divBdr>
            <w:top w:val="none" w:sz="0" w:space="0" w:color="auto"/>
            <w:left w:val="none" w:sz="0" w:space="0" w:color="auto"/>
            <w:bottom w:val="none" w:sz="0" w:space="0" w:color="auto"/>
            <w:right w:val="none" w:sz="0" w:space="0" w:color="auto"/>
          </w:divBdr>
        </w:div>
        <w:div w:id="2002348356">
          <w:marLeft w:val="288"/>
          <w:marRight w:val="0"/>
          <w:marTop w:val="0"/>
          <w:marBottom w:val="60"/>
          <w:divBdr>
            <w:top w:val="none" w:sz="0" w:space="0" w:color="auto"/>
            <w:left w:val="none" w:sz="0" w:space="0" w:color="auto"/>
            <w:bottom w:val="none" w:sz="0" w:space="0" w:color="auto"/>
            <w:right w:val="none" w:sz="0" w:space="0" w:color="auto"/>
          </w:divBdr>
        </w:div>
      </w:divsChild>
    </w:div>
    <w:div w:id="801845885">
      <w:bodyDiv w:val="1"/>
      <w:marLeft w:val="0"/>
      <w:marRight w:val="0"/>
      <w:marTop w:val="0"/>
      <w:marBottom w:val="0"/>
      <w:divBdr>
        <w:top w:val="none" w:sz="0" w:space="0" w:color="auto"/>
        <w:left w:val="none" w:sz="0" w:space="0" w:color="auto"/>
        <w:bottom w:val="none" w:sz="0" w:space="0" w:color="auto"/>
        <w:right w:val="none" w:sz="0" w:space="0" w:color="auto"/>
      </w:divBdr>
    </w:div>
    <w:div w:id="812676272">
      <w:bodyDiv w:val="1"/>
      <w:marLeft w:val="0"/>
      <w:marRight w:val="0"/>
      <w:marTop w:val="0"/>
      <w:marBottom w:val="0"/>
      <w:divBdr>
        <w:top w:val="none" w:sz="0" w:space="0" w:color="auto"/>
        <w:left w:val="none" w:sz="0" w:space="0" w:color="auto"/>
        <w:bottom w:val="none" w:sz="0" w:space="0" w:color="auto"/>
        <w:right w:val="none" w:sz="0" w:space="0" w:color="auto"/>
      </w:divBdr>
    </w:div>
    <w:div w:id="851190575">
      <w:bodyDiv w:val="1"/>
      <w:marLeft w:val="0"/>
      <w:marRight w:val="0"/>
      <w:marTop w:val="0"/>
      <w:marBottom w:val="0"/>
      <w:divBdr>
        <w:top w:val="none" w:sz="0" w:space="0" w:color="auto"/>
        <w:left w:val="none" w:sz="0" w:space="0" w:color="auto"/>
        <w:bottom w:val="none" w:sz="0" w:space="0" w:color="auto"/>
        <w:right w:val="none" w:sz="0" w:space="0" w:color="auto"/>
      </w:divBdr>
      <w:divsChild>
        <w:div w:id="263920962">
          <w:marLeft w:val="274"/>
          <w:marRight w:val="0"/>
          <w:marTop w:val="0"/>
          <w:marBottom w:val="40"/>
          <w:divBdr>
            <w:top w:val="none" w:sz="0" w:space="0" w:color="auto"/>
            <w:left w:val="none" w:sz="0" w:space="0" w:color="auto"/>
            <w:bottom w:val="none" w:sz="0" w:space="0" w:color="auto"/>
            <w:right w:val="none" w:sz="0" w:space="0" w:color="auto"/>
          </w:divBdr>
        </w:div>
        <w:div w:id="434785042">
          <w:marLeft w:val="274"/>
          <w:marRight w:val="0"/>
          <w:marTop w:val="0"/>
          <w:marBottom w:val="40"/>
          <w:divBdr>
            <w:top w:val="none" w:sz="0" w:space="0" w:color="auto"/>
            <w:left w:val="none" w:sz="0" w:space="0" w:color="auto"/>
            <w:bottom w:val="none" w:sz="0" w:space="0" w:color="auto"/>
            <w:right w:val="none" w:sz="0" w:space="0" w:color="auto"/>
          </w:divBdr>
        </w:div>
        <w:div w:id="681929603">
          <w:marLeft w:val="274"/>
          <w:marRight w:val="0"/>
          <w:marTop w:val="0"/>
          <w:marBottom w:val="40"/>
          <w:divBdr>
            <w:top w:val="none" w:sz="0" w:space="0" w:color="auto"/>
            <w:left w:val="none" w:sz="0" w:space="0" w:color="auto"/>
            <w:bottom w:val="none" w:sz="0" w:space="0" w:color="auto"/>
            <w:right w:val="none" w:sz="0" w:space="0" w:color="auto"/>
          </w:divBdr>
        </w:div>
        <w:div w:id="843861711">
          <w:marLeft w:val="274"/>
          <w:marRight w:val="0"/>
          <w:marTop w:val="0"/>
          <w:marBottom w:val="40"/>
          <w:divBdr>
            <w:top w:val="none" w:sz="0" w:space="0" w:color="auto"/>
            <w:left w:val="none" w:sz="0" w:space="0" w:color="auto"/>
            <w:bottom w:val="none" w:sz="0" w:space="0" w:color="auto"/>
            <w:right w:val="none" w:sz="0" w:space="0" w:color="auto"/>
          </w:divBdr>
        </w:div>
        <w:div w:id="1062556474">
          <w:marLeft w:val="274"/>
          <w:marRight w:val="0"/>
          <w:marTop w:val="0"/>
          <w:marBottom w:val="40"/>
          <w:divBdr>
            <w:top w:val="none" w:sz="0" w:space="0" w:color="auto"/>
            <w:left w:val="none" w:sz="0" w:space="0" w:color="auto"/>
            <w:bottom w:val="none" w:sz="0" w:space="0" w:color="auto"/>
            <w:right w:val="none" w:sz="0" w:space="0" w:color="auto"/>
          </w:divBdr>
        </w:div>
        <w:div w:id="1751198154">
          <w:marLeft w:val="274"/>
          <w:marRight w:val="0"/>
          <w:marTop w:val="0"/>
          <w:marBottom w:val="40"/>
          <w:divBdr>
            <w:top w:val="none" w:sz="0" w:space="0" w:color="auto"/>
            <w:left w:val="none" w:sz="0" w:space="0" w:color="auto"/>
            <w:bottom w:val="none" w:sz="0" w:space="0" w:color="auto"/>
            <w:right w:val="none" w:sz="0" w:space="0" w:color="auto"/>
          </w:divBdr>
        </w:div>
        <w:div w:id="1817450114">
          <w:marLeft w:val="274"/>
          <w:marRight w:val="0"/>
          <w:marTop w:val="0"/>
          <w:marBottom w:val="40"/>
          <w:divBdr>
            <w:top w:val="none" w:sz="0" w:space="0" w:color="auto"/>
            <w:left w:val="none" w:sz="0" w:space="0" w:color="auto"/>
            <w:bottom w:val="none" w:sz="0" w:space="0" w:color="auto"/>
            <w:right w:val="none" w:sz="0" w:space="0" w:color="auto"/>
          </w:divBdr>
        </w:div>
        <w:div w:id="1847986697">
          <w:marLeft w:val="274"/>
          <w:marRight w:val="0"/>
          <w:marTop w:val="0"/>
          <w:marBottom w:val="40"/>
          <w:divBdr>
            <w:top w:val="none" w:sz="0" w:space="0" w:color="auto"/>
            <w:left w:val="none" w:sz="0" w:space="0" w:color="auto"/>
            <w:bottom w:val="none" w:sz="0" w:space="0" w:color="auto"/>
            <w:right w:val="none" w:sz="0" w:space="0" w:color="auto"/>
          </w:divBdr>
        </w:div>
      </w:divsChild>
    </w:div>
    <w:div w:id="915819431">
      <w:bodyDiv w:val="1"/>
      <w:marLeft w:val="0"/>
      <w:marRight w:val="0"/>
      <w:marTop w:val="0"/>
      <w:marBottom w:val="0"/>
      <w:divBdr>
        <w:top w:val="none" w:sz="0" w:space="0" w:color="auto"/>
        <w:left w:val="none" w:sz="0" w:space="0" w:color="auto"/>
        <w:bottom w:val="none" w:sz="0" w:space="0" w:color="auto"/>
        <w:right w:val="none" w:sz="0" w:space="0" w:color="auto"/>
      </w:divBdr>
      <w:divsChild>
        <w:div w:id="282270073">
          <w:marLeft w:val="274"/>
          <w:marRight w:val="0"/>
          <w:marTop w:val="0"/>
          <w:marBottom w:val="120"/>
          <w:divBdr>
            <w:top w:val="none" w:sz="0" w:space="0" w:color="auto"/>
            <w:left w:val="none" w:sz="0" w:space="0" w:color="auto"/>
            <w:bottom w:val="none" w:sz="0" w:space="0" w:color="auto"/>
            <w:right w:val="none" w:sz="0" w:space="0" w:color="auto"/>
          </w:divBdr>
        </w:div>
        <w:div w:id="588587197">
          <w:marLeft w:val="274"/>
          <w:marRight w:val="0"/>
          <w:marTop w:val="0"/>
          <w:marBottom w:val="120"/>
          <w:divBdr>
            <w:top w:val="none" w:sz="0" w:space="0" w:color="auto"/>
            <w:left w:val="none" w:sz="0" w:space="0" w:color="auto"/>
            <w:bottom w:val="none" w:sz="0" w:space="0" w:color="auto"/>
            <w:right w:val="none" w:sz="0" w:space="0" w:color="auto"/>
          </w:divBdr>
        </w:div>
      </w:divsChild>
    </w:div>
    <w:div w:id="922641511">
      <w:bodyDiv w:val="1"/>
      <w:marLeft w:val="0"/>
      <w:marRight w:val="0"/>
      <w:marTop w:val="0"/>
      <w:marBottom w:val="0"/>
      <w:divBdr>
        <w:top w:val="none" w:sz="0" w:space="0" w:color="auto"/>
        <w:left w:val="none" w:sz="0" w:space="0" w:color="auto"/>
        <w:bottom w:val="none" w:sz="0" w:space="0" w:color="auto"/>
        <w:right w:val="none" w:sz="0" w:space="0" w:color="auto"/>
      </w:divBdr>
      <w:divsChild>
        <w:div w:id="188226540">
          <w:marLeft w:val="274"/>
          <w:marRight w:val="0"/>
          <w:marTop w:val="0"/>
          <w:marBottom w:val="60"/>
          <w:divBdr>
            <w:top w:val="none" w:sz="0" w:space="0" w:color="auto"/>
            <w:left w:val="none" w:sz="0" w:space="0" w:color="auto"/>
            <w:bottom w:val="none" w:sz="0" w:space="0" w:color="auto"/>
            <w:right w:val="none" w:sz="0" w:space="0" w:color="auto"/>
          </w:divBdr>
        </w:div>
        <w:div w:id="210119186">
          <w:marLeft w:val="274"/>
          <w:marRight w:val="0"/>
          <w:marTop w:val="0"/>
          <w:marBottom w:val="60"/>
          <w:divBdr>
            <w:top w:val="none" w:sz="0" w:space="0" w:color="auto"/>
            <w:left w:val="none" w:sz="0" w:space="0" w:color="auto"/>
            <w:bottom w:val="none" w:sz="0" w:space="0" w:color="auto"/>
            <w:right w:val="none" w:sz="0" w:space="0" w:color="auto"/>
          </w:divBdr>
        </w:div>
        <w:div w:id="521359005">
          <w:marLeft w:val="274"/>
          <w:marRight w:val="0"/>
          <w:marTop w:val="0"/>
          <w:marBottom w:val="60"/>
          <w:divBdr>
            <w:top w:val="none" w:sz="0" w:space="0" w:color="auto"/>
            <w:left w:val="none" w:sz="0" w:space="0" w:color="auto"/>
            <w:bottom w:val="none" w:sz="0" w:space="0" w:color="auto"/>
            <w:right w:val="none" w:sz="0" w:space="0" w:color="auto"/>
          </w:divBdr>
        </w:div>
        <w:div w:id="817263972">
          <w:marLeft w:val="274"/>
          <w:marRight w:val="0"/>
          <w:marTop w:val="0"/>
          <w:marBottom w:val="60"/>
          <w:divBdr>
            <w:top w:val="none" w:sz="0" w:space="0" w:color="auto"/>
            <w:left w:val="none" w:sz="0" w:space="0" w:color="auto"/>
            <w:bottom w:val="none" w:sz="0" w:space="0" w:color="auto"/>
            <w:right w:val="none" w:sz="0" w:space="0" w:color="auto"/>
          </w:divBdr>
        </w:div>
        <w:div w:id="1075932291">
          <w:marLeft w:val="274"/>
          <w:marRight w:val="0"/>
          <w:marTop w:val="0"/>
          <w:marBottom w:val="60"/>
          <w:divBdr>
            <w:top w:val="none" w:sz="0" w:space="0" w:color="auto"/>
            <w:left w:val="none" w:sz="0" w:space="0" w:color="auto"/>
            <w:bottom w:val="none" w:sz="0" w:space="0" w:color="auto"/>
            <w:right w:val="none" w:sz="0" w:space="0" w:color="auto"/>
          </w:divBdr>
        </w:div>
        <w:div w:id="1695304703">
          <w:marLeft w:val="274"/>
          <w:marRight w:val="0"/>
          <w:marTop w:val="0"/>
          <w:marBottom w:val="60"/>
          <w:divBdr>
            <w:top w:val="none" w:sz="0" w:space="0" w:color="auto"/>
            <w:left w:val="none" w:sz="0" w:space="0" w:color="auto"/>
            <w:bottom w:val="none" w:sz="0" w:space="0" w:color="auto"/>
            <w:right w:val="none" w:sz="0" w:space="0" w:color="auto"/>
          </w:divBdr>
        </w:div>
        <w:div w:id="1868252074">
          <w:marLeft w:val="274"/>
          <w:marRight w:val="0"/>
          <w:marTop w:val="0"/>
          <w:marBottom w:val="60"/>
          <w:divBdr>
            <w:top w:val="none" w:sz="0" w:space="0" w:color="auto"/>
            <w:left w:val="none" w:sz="0" w:space="0" w:color="auto"/>
            <w:bottom w:val="none" w:sz="0" w:space="0" w:color="auto"/>
            <w:right w:val="none" w:sz="0" w:space="0" w:color="auto"/>
          </w:divBdr>
        </w:div>
        <w:div w:id="2080207688">
          <w:marLeft w:val="274"/>
          <w:marRight w:val="0"/>
          <w:marTop w:val="0"/>
          <w:marBottom w:val="60"/>
          <w:divBdr>
            <w:top w:val="none" w:sz="0" w:space="0" w:color="auto"/>
            <w:left w:val="none" w:sz="0" w:space="0" w:color="auto"/>
            <w:bottom w:val="none" w:sz="0" w:space="0" w:color="auto"/>
            <w:right w:val="none" w:sz="0" w:space="0" w:color="auto"/>
          </w:divBdr>
        </w:div>
        <w:div w:id="2111968563">
          <w:marLeft w:val="274"/>
          <w:marRight w:val="0"/>
          <w:marTop w:val="0"/>
          <w:marBottom w:val="60"/>
          <w:divBdr>
            <w:top w:val="none" w:sz="0" w:space="0" w:color="auto"/>
            <w:left w:val="none" w:sz="0" w:space="0" w:color="auto"/>
            <w:bottom w:val="none" w:sz="0" w:space="0" w:color="auto"/>
            <w:right w:val="none" w:sz="0" w:space="0" w:color="auto"/>
          </w:divBdr>
        </w:div>
      </w:divsChild>
    </w:div>
    <w:div w:id="991056169">
      <w:bodyDiv w:val="1"/>
      <w:marLeft w:val="0"/>
      <w:marRight w:val="0"/>
      <w:marTop w:val="0"/>
      <w:marBottom w:val="0"/>
      <w:divBdr>
        <w:top w:val="none" w:sz="0" w:space="0" w:color="auto"/>
        <w:left w:val="none" w:sz="0" w:space="0" w:color="auto"/>
        <w:bottom w:val="none" w:sz="0" w:space="0" w:color="auto"/>
        <w:right w:val="none" w:sz="0" w:space="0" w:color="auto"/>
      </w:divBdr>
    </w:div>
    <w:div w:id="1007366710">
      <w:bodyDiv w:val="1"/>
      <w:marLeft w:val="0"/>
      <w:marRight w:val="0"/>
      <w:marTop w:val="0"/>
      <w:marBottom w:val="0"/>
      <w:divBdr>
        <w:top w:val="none" w:sz="0" w:space="0" w:color="auto"/>
        <w:left w:val="none" w:sz="0" w:space="0" w:color="auto"/>
        <w:bottom w:val="none" w:sz="0" w:space="0" w:color="auto"/>
        <w:right w:val="none" w:sz="0" w:space="0" w:color="auto"/>
      </w:divBdr>
      <w:divsChild>
        <w:div w:id="1479876388">
          <w:marLeft w:val="274"/>
          <w:marRight w:val="0"/>
          <w:marTop w:val="0"/>
          <w:marBottom w:val="120"/>
          <w:divBdr>
            <w:top w:val="none" w:sz="0" w:space="0" w:color="auto"/>
            <w:left w:val="none" w:sz="0" w:space="0" w:color="auto"/>
            <w:bottom w:val="none" w:sz="0" w:space="0" w:color="auto"/>
            <w:right w:val="none" w:sz="0" w:space="0" w:color="auto"/>
          </w:divBdr>
        </w:div>
        <w:div w:id="1923371396">
          <w:marLeft w:val="274"/>
          <w:marRight w:val="0"/>
          <w:marTop w:val="0"/>
          <w:marBottom w:val="120"/>
          <w:divBdr>
            <w:top w:val="none" w:sz="0" w:space="0" w:color="auto"/>
            <w:left w:val="none" w:sz="0" w:space="0" w:color="auto"/>
            <w:bottom w:val="none" w:sz="0" w:space="0" w:color="auto"/>
            <w:right w:val="none" w:sz="0" w:space="0" w:color="auto"/>
          </w:divBdr>
        </w:div>
      </w:divsChild>
    </w:div>
    <w:div w:id="1117338231">
      <w:bodyDiv w:val="1"/>
      <w:marLeft w:val="0"/>
      <w:marRight w:val="0"/>
      <w:marTop w:val="0"/>
      <w:marBottom w:val="0"/>
      <w:divBdr>
        <w:top w:val="none" w:sz="0" w:space="0" w:color="auto"/>
        <w:left w:val="none" w:sz="0" w:space="0" w:color="auto"/>
        <w:bottom w:val="none" w:sz="0" w:space="0" w:color="auto"/>
        <w:right w:val="none" w:sz="0" w:space="0" w:color="auto"/>
      </w:divBdr>
      <w:divsChild>
        <w:div w:id="270281080">
          <w:marLeft w:val="274"/>
          <w:marRight w:val="0"/>
          <w:marTop w:val="0"/>
          <w:marBottom w:val="120"/>
          <w:divBdr>
            <w:top w:val="none" w:sz="0" w:space="0" w:color="auto"/>
            <w:left w:val="none" w:sz="0" w:space="0" w:color="auto"/>
            <w:bottom w:val="none" w:sz="0" w:space="0" w:color="auto"/>
            <w:right w:val="none" w:sz="0" w:space="0" w:color="auto"/>
          </w:divBdr>
        </w:div>
        <w:div w:id="276914657">
          <w:marLeft w:val="274"/>
          <w:marRight w:val="0"/>
          <w:marTop w:val="0"/>
          <w:marBottom w:val="120"/>
          <w:divBdr>
            <w:top w:val="none" w:sz="0" w:space="0" w:color="auto"/>
            <w:left w:val="none" w:sz="0" w:space="0" w:color="auto"/>
            <w:bottom w:val="none" w:sz="0" w:space="0" w:color="auto"/>
            <w:right w:val="none" w:sz="0" w:space="0" w:color="auto"/>
          </w:divBdr>
        </w:div>
        <w:div w:id="1240554011">
          <w:marLeft w:val="274"/>
          <w:marRight w:val="0"/>
          <w:marTop w:val="0"/>
          <w:marBottom w:val="120"/>
          <w:divBdr>
            <w:top w:val="none" w:sz="0" w:space="0" w:color="auto"/>
            <w:left w:val="none" w:sz="0" w:space="0" w:color="auto"/>
            <w:bottom w:val="none" w:sz="0" w:space="0" w:color="auto"/>
            <w:right w:val="none" w:sz="0" w:space="0" w:color="auto"/>
          </w:divBdr>
        </w:div>
        <w:div w:id="1370836516">
          <w:marLeft w:val="274"/>
          <w:marRight w:val="0"/>
          <w:marTop w:val="0"/>
          <w:marBottom w:val="120"/>
          <w:divBdr>
            <w:top w:val="none" w:sz="0" w:space="0" w:color="auto"/>
            <w:left w:val="none" w:sz="0" w:space="0" w:color="auto"/>
            <w:bottom w:val="none" w:sz="0" w:space="0" w:color="auto"/>
            <w:right w:val="none" w:sz="0" w:space="0" w:color="auto"/>
          </w:divBdr>
        </w:div>
        <w:div w:id="1691644705">
          <w:marLeft w:val="274"/>
          <w:marRight w:val="0"/>
          <w:marTop w:val="0"/>
          <w:marBottom w:val="120"/>
          <w:divBdr>
            <w:top w:val="none" w:sz="0" w:space="0" w:color="auto"/>
            <w:left w:val="none" w:sz="0" w:space="0" w:color="auto"/>
            <w:bottom w:val="none" w:sz="0" w:space="0" w:color="auto"/>
            <w:right w:val="none" w:sz="0" w:space="0" w:color="auto"/>
          </w:divBdr>
        </w:div>
        <w:div w:id="1851677017">
          <w:marLeft w:val="274"/>
          <w:marRight w:val="0"/>
          <w:marTop w:val="0"/>
          <w:marBottom w:val="120"/>
          <w:divBdr>
            <w:top w:val="none" w:sz="0" w:space="0" w:color="auto"/>
            <w:left w:val="none" w:sz="0" w:space="0" w:color="auto"/>
            <w:bottom w:val="none" w:sz="0" w:space="0" w:color="auto"/>
            <w:right w:val="none" w:sz="0" w:space="0" w:color="auto"/>
          </w:divBdr>
        </w:div>
      </w:divsChild>
    </w:div>
    <w:div w:id="1148550103">
      <w:bodyDiv w:val="1"/>
      <w:marLeft w:val="0"/>
      <w:marRight w:val="0"/>
      <w:marTop w:val="0"/>
      <w:marBottom w:val="0"/>
      <w:divBdr>
        <w:top w:val="none" w:sz="0" w:space="0" w:color="auto"/>
        <w:left w:val="none" w:sz="0" w:space="0" w:color="auto"/>
        <w:bottom w:val="none" w:sz="0" w:space="0" w:color="auto"/>
        <w:right w:val="none" w:sz="0" w:space="0" w:color="auto"/>
      </w:divBdr>
      <w:divsChild>
        <w:div w:id="368998451">
          <w:marLeft w:val="274"/>
          <w:marRight w:val="0"/>
          <w:marTop w:val="0"/>
          <w:marBottom w:val="120"/>
          <w:divBdr>
            <w:top w:val="none" w:sz="0" w:space="0" w:color="auto"/>
            <w:left w:val="none" w:sz="0" w:space="0" w:color="auto"/>
            <w:bottom w:val="none" w:sz="0" w:space="0" w:color="auto"/>
            <w:right w:val="none" w:sz="0" w:space="0" w:color="auto"/>
          </w:divBdr>
        </w:div>
        <w:div w:id="1745375093">
          <w:marLeft w:val="274"/>
          <w:marRight w:val="0"/>
          <w:marTop w:val="0"/>
          <w:marBottom w:val="120"/>
          <w:divBdr>
            <w:top w:val="none" w:sz="0" w:space="0" w:color="auto"/>
            <w:left w:val="none" w:sz="0" w:space="0" w:color="auto"/>
            <w:bottom w:val="none" w:sz="0" w:space="0" w:color="auto"/>
            <w:right w:val="none" w:sz="0" w:space="0" w:color="auto"/>
          </w:divBdr>
        </w:div>
        <w:div w:id="2119400719">
          <w:marLeft w:val="274"/>
          <w:marRight w:val="0"/>
          <w:marTop w:val="0"/>
          <w:marBottom w:val="120"/>
          <w:divBdr>
            <w:top w:val="none" w:sz="0" w:space="0" w:color="auto"/>
            <w:left w:val="none" w:sz="0" w:space="0" w:color="auto"/>
            <w:bottom w:val="none" w:sz="0" w:space="0" w:color="auto"/>
            <w:right w:val="none" w:sz="0" w:space="0" w:color="auto"/>
          </w:divBdr>
        </w:div>
      </w:divsChild>
    </w:div>
    <w:div w:id="1152482526">
      <w:bodyDiv w:val="1"/>
      <w:marLeft w:val="0"/>
      <w:marRight w:val="0"/>
      <w:marTop w:val="0"/>
      <w:marBottom w:val="0"/>
      <w:divBdr>
        <w:top w:val="none" w:sz="0" w:space="0" w:color="auto"/>
        <w:left w:val="none" w:sz="0" w:space="0" w:color="auto"/>
        <w:bottom w:val="none" w:sz="0" w:space="0" w:color="auto"/>
        <w:right w:val="none" w:sz="0" w:space="0" w:color="auto"/>
      </w:divBdr>
    </w:div>
    <w:div w:id="1161966598">
      <w:bodyDiv w:val="1"/>
      <w:marLeft w:val="0"/>
      <w:marRight w:val="0"/>
      <w:marTop w:val="0"/>
      <w:marBottom w:val="0"/>
      <w:divBdr>
        <w:top w:val="none" w:sz="0" w:space="0" w:color="auto"/>
        <w:left w:val="none" w:sz="0" w:space="0" w:color="auto"/>
        <w:bottom w:val="none" w:sz="0" w:space="0" w:color="auto"/>
        <w:right w:val="none" w:sz="0" w:space="0" w:color="auto"/>
      </w:divBdr>
      <w:divsChild>
        <w:div w:id="1100638294">
          <w:marLeft w:val="274"/>
          <w:marRight w:val="0"/>
          <w:marTop w:val="0"/>
          <w:marBottom w:val="120"/>
          <w:divBdr>
            <w:top w:val="none" w:sz="0" w:space="0" w:color="auto"/>
            <w:left w:val="none" w:sz="0" w:space="0" w:color="auto"/>
            <w:bottom w:val="none" w:sz="0" w:space="0" w:color="auto"/>
            <w:right w:val="none" w:sz="0" w:space="0" w:color="auto"/>
          </w:divBdr>
        </w:div>
      </w:divsChild>
    </w:div>
    <w:div w:id="1165975027">
      <w:bodyDiv w:val="1"/>
      <w:marLeft w:val="0"/>
      <w:marRight w:val="0"/>
      <w:marTop w:val="0"/>
      <w:marBottom w:val="0"/>
      <w:divBdr>
        <w:top w:val="none" w:sz="0" w:space="0" w:color="auto"/>
        <w:left w:val="none" w:sz="0" w:space="0" w:color="auto"/>
        <w:bottom w:val="none" w:sz="0" w:space="0" w:color="auto"/>
        <w:right w:val="none" w:sz="0" w:space="0" w:color="auto"/>
      </w:divBdr>
      <w:divsChild>
        <w:div w:id="124396979">
          <w:marLeft w:val="274"/>
          <w:marRight w:val="0"/>
          <w:marTop w:val="0"/>
          <w:marBottom w:val="120"/>
          <w:divBdr>
            <w:top w:val="none" w:sz="0" w:space="0" w:color="auto"/>
            <w:left w:val="none" w:sz="0" w:space="0" w:color="auto"/>
            <w:bottom w:val="none" w:sz="0" w:space="0" w:color="auto"/>
            <w:right w:val="none" w:sz="0" w:space="0" w:color="auto"/>
          </w:divBdr>
        </w:div>
      </w:divsChild>
    </w:div>
    <w:div w:id="1228683318">
      <w:bodyDiv w:val="1"/>
      <w:marLeft w:val="0"/>
      <w:marRight w:val="0"/>
      <w:marTop w:val="0"/>
      <w:marBottom w:val="0"/>
      <w:divBdr>
        <w:top w:val="none" w:sz="0" w:space="0" w:color="auto"/>
        <w:left w:val="none" w:sz="0" w:space="0" w:color="auto"/>
        <w:bottom w:val="none" w:sz="0" w:space="0" w:color="auto"/>
        <w:right w:val="none" w:sz="0" w:space="0" w:color="auto"/>
      </w:divBdr>
    </w:div>
    <w:div w:id="1251235103">
      <w:bodyDiv w:val="1"/>
      <w:marLeft w:val="0"/>
      <w:marRight w:val="0"/>
      <w:marTop w:val="0"/>
      <w:marBottom w:val="0"/>
      <w:divBdr>
        <w:top w:val="none" w:sz="0" w:space="0" w:color="auto"/>
        <w:left w:val="none" w:sz="0" w:space="0" w:color="auto"/>
        <w:bottom w:val="none" w:sz="0" w:space="0" w:color="auto"/>
        <w:right w:val="none" w:sz="0" w:space="0" w:color="auto"/>
      </w:divBdr>
      <w:divsChild>
        <w:div w:id="380522907">
          <w:marLeft w:val="288"/>
          <w:marRight w:val="0"/>
          <w:marTop w:val="0"/>
          <w:marBottom w:val="60"/>
          <w:divBdr>
            <w:top w:val="none" w:sz="0" w:space="0" w:color="auto"/>
            <w:left w:val="none" w:sz="0" w:space="0" w:color="auto"/>
            <w:bottom w:val="none" w:sz="0" w:space="0" w:color="auto"/>
            <w:right w:val="none" w:sz="0" w:space="0" w:color="auto"/>
          </w:divBdr>
        </w:div>
        <w:div w:id="1147169577">
          <w:marLeft w:val="288"/>
          <w:marRight w:val="0"/>
          <w:marTop w:val="0"/>
          <w:marBottom w:val="60"/>
          <w:divBdr>
            <w:top w:val="none" w:sz="0" w:space="0" w:color="auto"/>
            <w:left w:val="none" w:sz="0" w:space="0" w:color="auto"/>
            <w:bottom w:val="none" w:sz="0" w:space="0" w:color="auto"/>
            <w:right w:val="none" w:sz="0" w:space="0" w:color="auto"/>
          </w:divBdr>
        </w:div>
        <w:div w:id="1300958663">
          <w:marLeft w:val="288"/>
          <w:marRight w:val="0"/>
          <w:marTop w:val="0"/>
          <w:marBottom w:val="60"/>
          <w:divBdr>
            <w:top w:val="none" w:sz="0" w:space="0" w:color="auto"/>
            <w:left w:val="none" w:sz="0" w:space="0" w:color="auto"/>
            <w:bottom w:val="none" w:sz="0" w:space="0" w:color="auto"/>
            <w:right w:val="none" w:sz="0" w:space="0" w:color="auto"/>
          </w:divBdr>
        </w:div>
        <w:div w:id="1850867714">
          <w:marLeft w:val="288"/>
          <w:marRight w:val="0"/>
          <w:marTop w:val="0"/>
          <w:marBottom w:val="60"/>
          <w:divBdr>
            <w:top w:val="none" w:sz="0" w:space="0" w:color="auto"/>
            <w:left w:val="none" w:sz="0" w:space="0" w:color="auto"/>
            <w:bottom w:val="none" w:sz="0" w:space="0" w:color="auto"/>
            <w:right w:val="none" w:sz="0" w:space="0" w:color="auto"/>
          </w:divBdr>
        </w:div>
      </w:divsChild>
    </w:div>
    <w:div w:id="1323465786">
      <w:bodyDiv w:val="1"/>
      <w:marLeft w:val="0"/>
      <w:marRight w:val="0"/>
      <w:marTop w:val="0"/>
      <w:marBottom w:val="0"/>
      <w:divBdr>
        <w:top w:val="none" w:sz="0" w:space="0" w:color="auto"/>
        <w:left w:val="none" w:sz="0" w:space="0" w:color="auto"/>
        <w:bottom w:val="none" w:sz="0" w:space="0" w:color="auto"/>
        <w:right w:val="none" w:sz="0" w:space="0" w:color="auto"/>
      </w:divBdr>
      <w:divsChild>
        <w:div w:id="23403809">
          <w:marLeft w:val="288"/>
          <w:marRight w:val="0"/>
          <w:marTop w:val="0"/>
          <w:marBottom w:val="60"/>
          <w:divBdr>
            <w:top w:val="none" w:sz="0" w:space="0" w:color="auto"/>
            <w:left w:val="none" w:sz="0" w:space="0" w:color="auto"/>
            <w:bottom w:val="none" w:sz="0" w:space="0" w:color="auto"/>
            <w:right w:val="none" w:sz="0" w:space="0" w:color="auto"/>
          </w:divBdr>
        </w:div>
        <w:div w:id="92827931">
          <w:marLeft w:val="288"/>
          <w:marRight w:val="0"/>
          <w:marTop w:val="0"/>
          <w:marBottom w:val="60"/>
          <w:divBdr>
            <w:top w:val="none" w:sz="0" w:space="0" w:color="auto"/>
            <w:left w:val="none" w:sz="0" w:space="0" w:color="auto"/>
            <w:bottom w:val="none" w:sz="0" w:space="0" w:color="auto"/>
            <w:right w:val="none" w:sz="0" w:space="0" w:color="auto"/>
          </w:divBdr>
        </w:div>
        <w:div w:id="417017236">
          <w:marLeft w:val="288"/>
          <w:marRight w:val="0"/>
          <w:marTop w:val="0"/>
          <w:marBottom w:val="60"/>
          <w:divBdr>
            <w:top w:val="none" w:sz="0" w:space="0" w:color="auto"/>
            <w:left w:val="none" w:sz="0" w:space="0" w:color="auto"/>
            <w:bottom w:val="none" w:sz="0" w:space="0" w:color="auto"/>
            <w:right w:val="none" w:sz="0" w:space="0" w:color="auto"/>
          </w:divBdr>
        </w:div>
        <w:div w:id="597105424">
          <w:marLeft w:val="288"/>
          <w:marRight w:val="0"/>
          <w:marTop w:val="0"/>
          <w:marBottom w:val="60"/>
          <w:divBdr>
            <w:top w:val="none" w:sz="0" w:space="0" w:color="auto"/>
            <w:left w:val="none" w:sz="0" w:space="0" w:color="auto"/>
            <w:bottom w:val="none" w:sz="0" w:space="0" w:color="auto"/>
            <w:right w:val="none" w:sz="0" w:space="0" w:color="auto"/>
          </w:divBdr>
        </w:div>
        <w:div w:id="1331372198">
          <w:marLeft w:val="288"/>
          <w:marRight w:val="0"/>
          <w:marTop w:val="0"/>
          <w:marBottom w:val="60"/>
          <w:divBdr>
            <w:top w:val="none" w:sz="0" w:space="0" w:color="auto"/>
            <w:left w:val="none" w:sz="0" w:space="0" w:color="auto"/>
            <w:bottom w:val="none" w:sz="0" w:space="0" w:color="auto"/>
            <w:right w:val="none" w:sz="0" w:space="0" w:color="auto"/>
          </w:divBdr>
        </w:div>
        <w:div w:id="1735006674">
          <w:marLeft w:val="288"/>
          <w:marRight w:val="0"/>
          <w:marTop w:val="0"/>
          <w:marBottom w:val="60"/>
          <w:divBdr>
            <w:top w:val="none" w:sz="0" w:space="0" w:color="auto"/>
            <w:left w:val="none" w:sz="0" w:space="0" w:color="auto"/>
            <w:bottom w:val="none" w:sz="0" w:space="0" w:color="auto"/>
            <w:right w:val="none" w:sz="0" w:space="0" w:color="auto"/>
          </w:divBdr>
        </w:div>
        <w:div w:id="1742362979">
          <w:marLeft w:val="288"/>
          <w:marRight w:val="0"/>
          <w:marTop w:val="0"/>
          <w:marBottom w:val="60"/>
          <w:divBdr>
            <w:top w:val="none" w:sz="0" w:space="0" w:color="auto"/>
            <w:left w:val="none" w:sz="0" w:space="0" w:color="auto"/>
            <w:bottom w:val="none" w:sz="0" w:space="0" w:color="auto"/>
            <w:right w:val="none" w:sz="0" w:space="0" w:color="auto"/>
          </w:divBdr>
        </w:div>
        <w:div w:id="1913006363">
          <w:marLeft w:val="288"/>
          <w:marRight w:val="0"/>
          <w:marTop w:val="0"/>
          <w:marBottom w:val="60"/>
          <w:divBdr>
            <w:top w:val="none" w:sz="0" w:space="0" w:color="auto"/>
            <w:left w:val="none" w:sz="0" w:space="0" w:color="auto"/>
            <w:bottom w:val="none" w:sz="0" w:space="0" w:color="auto"/>
            <w:right w:val="none" w:sz="0" w:space="0" w:color="auto"/>
          </w:divBdr>
        </w:div>
      </w:divsChild>
    </w:div>
    <w:div w:id="1337269007">
      <w:bodyDiv w:val="1"/>
      <w:marLeft w:val="0"/>
      <w:marRight w:val="0"/>
      <w:marTop w:val="0"/>
      <w:marBottom w:val="0"/>
      <w:divBdr>
        <w:top w:val="none" w:sz="0" w:space="0" w:color="auto"/>
        <w:left w:val="none" w:sz="0" w:space="0" w:color="auto"/>
        <w:bottom w:val="none" w:sz="0" w:space="0" w:color="auto"/>
        <w:right w:val="none" w:sz="0" w:space="0" w:color="auto"/>
      </w:divBdr>
      <w:divsChild>
        <w:div w:id="357967621">
          <w:marLeft w:val="288"/>
          <w:marRight w:val="0"/>
          <w:marTop w:val="0"/>
          <w:marBottom w:val="120"/>
          <w:divBdr>
            <w:top w:val="none" w:sz="0" w:space="0" w:color="auto"/>
            <w:left w:val="none" w:sz="0" w:space="0" w:color="auto"/>
            <w:bottom w:val="none" w:sz="0" w:space="0" w:color="auto"/>
            <w:right w:val="none" w:sz="0" w:space="0" w:color="auto"/>
          </w:divBdr>
        </w:div>
        <w:div w:id="629481479">
          <w:marLeft w:val="288"/>
          <w:marRight w:val="0"/>
          <w:marTop w:val="0"/>
          <w:marBottom w:val="120"/>
          <w:divBdr>
            <w:top w:val="none" w:sz="0" w:space="0" w:color="auto"/>
            <w:left w:val="none" w:sz="0" w:space="0" w:color="auto"/>
            <w:bottom w:val="none" w:sz="0" w:space="0" w:color="auto"/>
            <w:right w:val="none" w:sz="0" w:space="0" w:color="auto"/>
          </w:divBdr>
        </w:div>
        <w:div w:id="1238706389">
          <w:marLeft w:val="288"/>
          <w:marRight w:val="0"/>
          <w:marTop w:val="0"/>
          <w:marBottom w:val="120"/>
          <w:divBdr>
            <w:top w:val="none" w:sz="0" w:space="0" w:color="auto"/>
            <w:left w:val="none" w:sz="0" w:space="0" w:color="auto"/>
            <w:bottom w:val="none" w:sz="0" w:space="0" w:color="auto"/>
            <w:right w:val="none" w:sz="0" w:space="0" w:color="auto"/>
          </w:divBdr>
        </w:div>
        <w:div w:id="1583489292">
          <w:marLeft w:val="288"/>
          <w:marRight w:val="0"/>
          <w:marTop w:val="0"/>
          <w:marBottom w:val="120"/>
          <w:divBdr>
            <w:top w:val="none" w:sz="0" w:space="0" w:color="auto"/>
            <w:left w:val="none" w:sz="0" w:space="0" w:color="auto"/>
            <w:bottom w:val="none" w:sz="0" w:space="0" w:color="auto"/>
            <w:right w:val="none" w:sz="0" w:space="0" w:color="auto"/>
          </w:divBdr>
        </w:div>
        <w:div w:id="1610165653">
          <w:marLeft w:val="288"/>
          <w:marRight w:val="0"/>
          <w:marTop w:val="0"/>
          <w:marBottom w:val="120"/>
          <w:divBdr>
            <w:top w:val="none" w:sz="0" w:space="0" w:color="auto"/>
            <w:left w:val="none" w:sz="0" w:space="0" w:color="auto"/>
            <w:bottom w:val="none" w:sz="0" w:space="0" w:color="auto"/>
            <w:right w:val="none" w:sz="0" w:space="0" w:color="auto"/>
          </w:divBdr>
        </w:div>
        <w:div w:id="1874876287">
          <w:marLeft w:val="288"/>
          <w:marRight w:val="0"/>
          <w:marTop w:val="0"/>
          <w:marBottom w:val="120"/>
          <w:divBdr>
            <w:top w:val="none" w:sz="0" w:space="0" w:color="auto"/>
            <w:left w:val="none" w:sz="0" w:space="0" w:color="auto"/>
            <w:bottom w:val="none" w:sz="0" w:space="0" w:color="auto"/>
            <w:right w:val="none" w:sz="0" w:space="0" w:color="auto"/>
          </w:divBdr>
        </w:div>
      </w:divsChild>
    </w:div>
    <w:div w:id="1389263193">
      <w:bodyDiv w:val="1"/>
      <w:marLeft w:val="0"/>
      <w:marRight w:val="0"/>
      <w:marTop w:val="0"/>
      <w:marBottom w:val="0"/>
      <w:divBdr>
        <w:top w:val="none" w:sz="0" w:space="0" w:color="auto"/>
        <w:left w:val="none" w:sz="0" w:space="0" w:color="auto"/>
        <w:bottom w:val="none" w:sz="0" w:space="0" w:color="auto"/>
        <w:right w:val="none" w:sz="0" w:space="0" w:color="auto"/>
      </w:divBdr>
      <w:divsChild>
        <w:div w:id="556815216">
          <w:marLeft w:val="288"/>
          <w:marRight w:val="0"/>
          <w:marTop w:val="0"/>
          <w:marBottom w:val="60"/>
          <w:divBdr>
            <w:top w:val="none" w:sz="0" w:space="0" w:color="auto"/>
            <w:left w:val="none" w:sz="0" w:space="0" w:color="auto"/>
            <w:bottom w:val="none" w:sz="0" w:space="0" w:color="auto"/>
            <w:right w:val="none" w:sz="0" w:space="0" w:color="auto"/>
          </w:divBdr>
        </w:div>
        <w:div w:id="991979729">
          <w:marLeft w:val="288"/>
          <w:marRight w:val="0"/>
          <w:marTop w:val="0"/>
          <w:marBottom w:val="60"/>
          <w:divBdr>
            <w:top w:val="none" w:sz="0" w:space="0" w:color="auto"/>
            <w:left w:val="none" w:sz="0" w:space="0" w:color="auto"/>
            <w:bottom w:val="none" w:sz="0" w:space="0" w:color="auto"/>
            <w:right w:val="none" w:sz="0" w:space="0" w:color="auto"/>
          </w:divBdr>
        </w:div>
        <w:div w:id="1120731448">
          <w:marLeft w:val="288"/>
          <w:marRight w:val="0"/>
          <w:marTop w:val="0"/>
          <w:marBottom w:val="60"/>
          <w:divBdr>
            <w:top w:val="none" w:sz="0" w:space="0" w:color="auto"/>
            <w:left w:val="none" w:sz="0" w:space="0" w:color="auto"/>
            <w:bottom w:val="none" w:sz="0" w:space="0" w:color="auto"/>
            <w:right w:val="none" w:sz="0" w:space="0" w:color="auto"/>
          </w:divBdr>
        </w:div>
        <w:div w:id="1530988220">
          <w:marLeft w:val="288"/>
          <w:marRight w:val="0"/>
          <w:marTop w:val="0"/>
          <w:marBottom w:val="60"/>
          <w:divBdr>
            <w:top w:val="none" w:sz="0" w:space="0" w:color="auto"/>
            <w:left w:val="none" w:sz="0" w:space="0" w:color="auto"/>
            <w:bottom w:val="none" w:sz="0" w:space="0" w:color="auto"/>
            <w:right w:val="none" w:sz="0" w:space="0" w:color="auto"/>
          </w:divBdr>
        </w:div>
        <w:div w:id="1724788965">
          <w:marLeft w:val="288"/>
          <w:marRight w:val="0"/>
          <w:marTop w:val="0"/>
          <w:marBottom w:val="60"/>
          <w:divBdr>
            <w:top w:val="none" w:sz="0" w:space="0" w:color="auto"/>
            <w:left w:val="none" w:sz="0" w:space="0" w:color="auto"/>
            <w:bottom w:val="none" w:sz="0" w:space="0" w:color="auto"/>
            <w:right w:val="none" w:sz="0" w:space="0" w:color="auto"/>
          </w:divBdr>
        </w:div>
        <w:div w:id="2025206718">
          <w:marLeft w:val="288"/>
          <w:marRight w:val="0"/>
          <w:marTop w:val="0"/>
          <w:marBottom w:val="60"/>
          <w:divBdr>
            <w:top w:val="none" w:sz="0" w:space="0" w:color="auto"/>
            <w:left w:val="none" w:sz="0" w:space="0" w:color="auto"/>
            <w:bottom w:val="none" w:sz="0" w:space="0" w:color="auto"/>
            <w:right w:val="none" w:sz="0" w:space="0" w:color="auto"/>
          </w:divBdr>
        </w:div>
        <w:div w:id="2076973827">
          <w:marLeft w:val="288"/>
          <w:marRight w:val="0"/>
          <w:marTop w:val="0"/>
          <w:marBottom w:val="60"/>
          <w:divBdr>
            <w:top w:val="none" w:sz="0" w:space="0" w:color="auto"/>
            <w:left w:val="none" w:sz="0" w:space="0" w:color="auto"/>
            <w:bottom w:val="none" w:sz="0" w:space="0" w:color="auto"/>
            <w:right w:val="none" w:sz="0" w:space="0" w:color="auto"/>
          </w:divBdr>
        </w:div>
      </w:divsChild>
    </w:div>
    <w:div w:id="1403453503">
      <w:bodyDiv w:val="1"/>
      <w:marLeft w:val="0"/>
      <w:marRight w:val="0"/>
      <w:marTop w:val="0"/>
      <w:marBottom w:val="0"/>
      <w:divBdr>
        <w:top w:val="none" w:sz="0" w:space="0" w:color="auto"/>
        <w:left w:val="none" w:sz="0" w:space="0" w:color="auto"/>
        <w:bottom w:val="none" w:sz="0" w:space="0" w:color="auto"/>
        <w:right w:val="none" w:sz="0" w:space="0" w:color="auto"/>
      </w:divBdr>
    </w:div>
    <w:div w:id="1455294415">
      <w:bodyDiv w:val="1"/>
      <w:marLeft w:val="0"/>
      <w:marRight w:val="0"/>
      <w:marTop w:val="0"/>
      <w:marBottom w:val="0"/>
      <w:divBdr>
        <w:top w:val="none" w:sz="0" w:space="0" w:color="auto"/>
        <w:left w:val="none" w:sz="0" w:space="0" w:color="auto"/>
        <w:bottom w:val="none" w:sz="0" w:space="0" w:color="auto"/>
        <w:right w:val="none" w:sz="0" w:space="0" w:color="auto"/>
      </w:divBdr>
      <w:divsChild>
        <w:div w:id="203252241">
          <w:marLeft w:val="274"/>
          <w:marRight w:val="0"/>
          <w:marTop w:val="0"/>
          <w:marBottom w:val="120"/>
          <w:divBdr>
            <w:top w:val="none" w:sz="0" w:space="0" w:color="auto"/>
            <w:left w:val="none" w:sz="0" w:space="0" w:color="auto"/>
            <w:bottom w:val="none" w:sz="0" w:space="0" w:color="auto"/>
            <w:right w:val="none" w:sz="0" w:space="0" w:color="auto"/>
          </w:divBdr>
        </w:div>
        <w:div w:id="314993857">
          <w:marLeft w:val="274"/>
          <w:marRight w:val="0"/>
          <w:marTop w:val="0"/>
          <w:marBottom w:val="120"/>
          <w:divBdr>
            <w:top w:val="none" w:sz="0" w:space="0" w:color="auto"/>
            <w:left w:val="none" w:sz="0" w:space="0" w:color="auto"/>
            <w:bottom w:val="none" w:sz="0" w:space="0" w:color="auto"/>
            <w:right w:val="none" w:sz="0" w:space="0" w:color="auto"/>
          </w:divBdr>
        </w:div>
        <w:div w:id="829490849">
          <w:marLeft w:val="274"/>
          <w:marRight w:val="0"/>
          <w:marTop w:val="0"/>
          <w:marBottom w:val="120"/>
          <w:divBdr>
            <w:top w:val="none" w:sz="0" w:space="0" w:color="auto"/>
            <w:left w:val="none" w:sz="0" w:space="0" w:color="auto"/>
            <w:bottom w:val="none" w:sz="0" w:space="0" w:color="auto"/>
            <w:right w:val="none" w:sz="0" w:space="0" w:color="auto"/>
          </w:divBdr>
        </w:div>
        <w:div w:id="886799606">
          <w:marLeft w:val="274"/>
          <w:marRight w:val="0"/>
          <w:marTop w:val="0"/>
          <w:marBottom w:val="120"/>
          <w:divBdr>
            <w:top w:val="none" w:sz="0" w:space="0" w:color="auto"/>
            <w:left w:val="none" w:sz="0" w:space="0" w:color="auto"/>
            <w:bottom w:val="none" w:sz="0" w:space="0" w:color="auto"/>
            <w:right w:val="none" w:sz="0" w:space="0" w:color="auto"/>
          </w:divBdr>
        </w:div>
        <w:div w:id="1285623716">
          <w:marLeft w:val="274"/>
          <w:marRight w:val="0"/>
          <w:marTop w:val="0"/>
          <w:marBottom w:val="120"/>
          <w:divBdr>
            <w:top w:val="none" w:sz="0" w:space="0" w:color="auto"/>
            <w:left w:val="none" w:sz="0" w:space="0" w:color="auto"/>
            <w:bottom w:val="none" w:sz="0" w:space="0" w:color="auto"/>
            <w:right w:val="none" w:sz="0" w:space="0" w:color="auto"/>
          </w:divBdr>
        </w:div>
        <w:div w:id="1416125111">
          <w:marLeft w:val="274"/>
          <w:marRight w:val="0"/>
          <w:marTop w:val="0"/>
          <w:marBottom w:val="120"/>
          <w:divBdr>
            <w:top w:val="none" w:sz="0" w:space="0" w:color="auto"/>
            <w:left w:val="none" w:sz="0" w:space="0" w:color="auto"/>
            <w:bottom w:val="none" w:sz="0" w:space="0" w:color="auto"/>
            <w:right w:val="none" w:sz="0" w:space="0" w:color="auto"/>
          </w:divBdr>
        </w:div>
        <w:div w:id="1482968845">
          <w:marLeft w:val="274"/>
          <w:marRight w:val="0"/>
          <w:marTop w:val="0"/>
          <w:marBottom w:val="120"/>
          <w:divBdr>
            <w:top w:val="none" w:sz="0" w:space="0" w:color="auto"/>
            <w:left w:val="none" w:sz="0" w:space="0" w:color="auto"/>
            <w:bottom w:val="none" w:sz="0" w:space="0" w:color="auto"/>
            <w:right w:val="none" w:sz="0" w:space="0" w:color="auto"/>
          </w:divBdr>
        </w:div>
        <w:div w:id="1750151894">
          <w:marLeft w:val="274"/>
          <w:marRight w:val="0"/>
          <w:marTop w:val="0"/>
          <w:marBottom w:val="120"/>
          <w:divBdr>
            <w:top w:val="none" w:sz="0" w:space="0" w:color="auto"/>
            <w:left w:val="none" w:sz="0" w:space="0" w:color="auto"/>
            <w:bottom w:val="none" w:sz="0" w:space="0" w:color="auto"/>
            <w:right w:val="none" w:sz="0" w:space="0" w:color="auto"/>
          </w:divBdr>
        </w:div>
        <w:div w:id="1750956591">
          <w:marLeft w:val="274"/>
          <w:marRight w:val="0"/>
          <w:marTop w:val="0"/>
          <w:marBottom w:val="120"/>
          <w:divBdr>
            <w:top w:val="none" w:sz="0" w:space="0" w:color="auto"/>
            <w:left w:val="none" w:sz="0" w:space="0" w:color="auto"/>
            <w:bottom w:val="none" w:sz="0" w:space="0" w:color="auto"/>
            <w:right w:val="none" w:sz="0" w:space="0" w:color="auto"/>
          </w:divBdr>
        </w:div>
      </w:divsChild>
    </w:div>
    <w:div w:id="1467626185">
      <w:bodyDiv w:val="1"/>
      <w:marLeft w:val="0"/>
      <w:marRight w:val="0"/>
      <w:marTop w:val="0"/>
      <w:marBottom w:val="0"/>
      <w:divBdr>
        <w:top w:val="none" w:sz="0" w:space="0" w:color="auto"/>
        <w:left w:val="none" w:sz="0" w:space="0" w:color="auto"/>
        <w:bottom w:val="none" w:sz="0" w:space="0" w:color="auto"/>
        <w:right w:val="none" w:sz="0" w:space="0" w:color="auto"/>
      </w:divBdr>
    </w:div>
    <w:div w:id="1490561797">
      <w:bodyDiv w:val="1"/>
      <w:marLeft w:val="0"/>
      <w:marRight w:val="0"/>
      <w:marTop w:val="0"/>
      <w:marBottom w:val="0"/>
      <w:divBdr>
        <w:top w:val="none" w:sz="0" w:space="0" w:color="auto"/>
        <w:left w:val="none" w:sz="0" w:space="0" w:color="auto"/>
        <w:bottom w:val="none" w:sz="0" w:space="0" w:color="auto"/>
        <w:right w:val="none" w:sz="0" w:space="0" w:color="auto"/>
      </w:divBdr>
      <w:divsChild>
        <w:div w:id="868642929">
          <w:marLeft w:val="274"/>
          <w:marRight w:val="0"/>
          <w:marTop w:val="0"/>
          <w:marBottom w:val="120"/>
          <w:divBdr>
            <w:top w:val="none" w:sz="0" w:space="0" w:color="auto"/>
            <w:left w:val="none" w:sz="0" w:space="0" w:color="auto"/>
            <w:bottom w:val="none" w:sz="0" w:space="0" w:color="auto"/>
            <w:right w:val="none" w:sz="0" w:space="0" w:color="auto"/>
          </w:divBdr>
        </w:div>
        <w:div w:id="884023478">
          <w:marLeft w:val="274"/>
          <w:marRight w:val="0"/>
          <w:marTop w:val="0"/>
          <w:marBottom w:val="120"/>
          <w:divBdr>
            <w:top w:val="none" w:sz="0" w:space="0" w:color="auto"/>
            <w:left w:val="none" w:sz="0" w:space="0" w:color="auto"/>
            <w:bottom w:val="none" w:sz="0" w:space="0" w:color="auto"/>
            <w:right w:val="none" w:sz="0" w:space="0" w:color="auto"/>
          </w:divBdr>
        </w:div>
        <w:div w:id="909189527">
          <w:marLeft w:val="274"/>
          <w:marRight w:val="0"/>
          <w:marTop w:val="0"/>
          <w:marBottom w:val="120"/>
          <w:divBdr>
            <w:top w:val="none" w:sz="0" w:space="0" w:color="auto"/>
            <w:left w:val="none" w:sz="0" w:space="0" w:color="auto"/>
            <w:bottom w:val="none" w:sz="0" w:space="0" w:color="auto"/>
            <w:right w:val="none" w:sz="0" w:space="0" w:color="auto"/>
          </w:divBdr>
        </w:div>
      </w:divsChild>
    </w:div>
    <w:div w:id="1552304871">
      <w:bodyDiv w:val="1"/>
      <w:marLeft w:val="0"/>
      <w:marRight w:val="0"/>
      <w:marTop w:val="0"/>
      <w:marBottom w:val="0"/>
      <w:divBdr>
        <w:top w:val="none" w:sz="0" w:space="0" w:color="auto"/>
        <w:left w:val="none" w:sz="0" w:space="0" w:color="auto"/>
        <w:bottom w:val="none" w:sz="0" w:space="0" w:color="auto"/>
        <w:right w:val="none" w:sz="0" w:space="0" w:color="auto"/>
      </w:divBdr>
      <w:divsChild>
        <w:div w:id="612136003">
          <w:marLeft w:val="274"/>
          <w:marRight w:val="0"/>
          <w:marTop w:val="0"/>
          <w:marBottom w:val="120"/>
          <w:divBdr>
            <w:top w:val="none" w:sz="0" w:space="0" w:color="auto"/>
            <w:left w:val="none" w:sz="0" w:space="0" w:color="auto"/>
            <w:bottom w:val="none" w:sz="0" w:space="0" w:color="auto"/>
            <w:right w:val="none" w:sz="0" w:space="0" w:color="auto"/>
          </w:divBdr>
        </w:div>
        <w:div w:id="750079272">
          <w:marLeft w:val="274"/>
          <w:marRight w:val="0"/>
          <w:marTop w:val="0"/>
          <w:marBottom w:val="120"/>
          <w:divBdr>
            <w:top w:val="none" w:sz="0" w:space="0" w:color="auto"/>
            <w:left w:val="none" w:sz="0" w:space="0" w:color="auto"/>
            <w:bottom w:val="none" w:sz="0" w:space="0" w:color="auto"/>
            <w:right w:val="none" w:sz="0" w:space="0" w:color="auto"/>
          </w:divBdr>
        </w:div>
        <w:div w:id="770473017">
          <w:marLeft w:val="274"/>
          <w:marRight w:val="0"/>
          <w:marTop w:val="0"/>
          <w:marBottom w:val="120"/>
          <w:divBdr>
            <w:top w:val="none" w:sz="0" w:space="0" w:color="auto"/>
            <w:left w:val="none" w:sz="0" w:space="0" w:color="auto"/>
            <w:bottom w:val="none" w:sz="0" w:space="0" w:color="auto"/>
            <w:right w:val="none" w:sz="0" w:space="0" w:color="auto"/>
          </w:divBdr>
        </w:div>
        <w:div w:id="790053488">
          <w:marLeft w:val="274"/>
          <w:marRight w:val="0"/>
          <w:marTop w:val="0"/>
          <w:marBottom w:val="120"/>
          <w:divBdr>
            <w:top w:val="none" w:sz="0" w:space="0" w:color="auto"/>
            <w:left w:val="none" w:sz="0" w:space="0" w:color="auto"/>
            <w:bottom w:val="none" w:sz="0" w:space="0" w:color="auto"/>
            <w:right w:val="none" w:sz="0" w:space="0" w:color="auto"/>
          </w:divBdr>
        </w:div>
        <w:div w:id="880629947">
          <w:marLeft w:val="274"/>
          <w:marRight w:val="0"/>
          <w:marTop w:val="0"/>
          <w:marBottom w:val="120"/>
          <w:divBdr>
            <w:top w:val="none" w:sz="0" w:space="0" w:color="auto"/>
            <w:left w:val="none" w:sz="0" w:space="0" w:color="auto"/>
            <w:bottom w:val="none" w:sz="0" w:space="0" w:color="auto"/>
            <w:right w:val="none" w:sz="0" w:space="0" w:color="auto"/>
          </w:divBdr>
        </w:div>
        <w:div w:id="1109466926">
          <w:marLeft w:val="274"/>
          <w:marRight w:val="0"/>
          <w:marTop w:val="0"/>
          <w:marBottom w:val="120"/>
          <w:divBdr>
            <w:top w:val="none" w:sz="0" w:space="0" w:color="auto"/>
            <w:left w:val="none" w:sz="0" w:space="0" w:color="auto"/>
            <w:bottom w:val="none" w:sz="0" w:space="0" w:color="auto"/>
            <w:right w:val="none" w:sz="0" w:space="0" w:color="auto"/>
          </w:divBdr>
        </w:div>
      </w:divsChild>
    </w:div>
    <w:div w:id="1604846995">
      <w:bodyDiv w:val="1"/>
      <w:marLeft w:val="0"/>
      <w:marRight w:val="0"/>
      <w:marTop w:val="0"/>
      <w:marBottom w:val="0"/>
      <w:divBdr>
        <w:top w:val="none" w:sz="0" w:space="0" w:color="auto"/>
        <w:left w:val="none" w:sz="0" w:space="0" w:color="auto"/>
        <w:bottom w:val="none" w:sz="0" w:space="0" w:color="auto"/>
        <w:right w:val="none" w:sz="0" w:space="0" w:color="auto"/>
      </w:divBdr>
      <w:divsChild>
        <w:div w:id="170994636">
          <w:marLeft w:val="274"/>
          <w:marRight w:val="0"/>
          <w:marTop w:val="0"/>
          <w:marBottom w:val="120"/>
          <w:divBdr>
            <w:top w:val="none" w:sz="0" w:space="0" w:color="auto"/>
            <w:left w:val="none" w:sz="0" w:space="0" w:color="auto"/>
            <w:bottom w:val="none" w:sz="0" w:space="0" w:color="auto"/>
            <w:right w:val="none" w:sz="0" w:space="0" w:color="auto"/>
          </w:divBdr>
        </w:div>
        <w:div w:id="515194250">
          <w:marLeft w:val="274"/>
          <w:marRight w:val="0"/>
          <w:marTop w:val="0"/>
          <w:marBottom w:val="120"/>
          <w:divBdr>
            <w:top w:val="none" w:sz="0" w:space="0" w:color="auto"/>
            <w:left w:val="none" w:sz="0" w:space="0" w:color="auto"/>
            <w:bottom w:val="none" w:sz="0" w:space="0" w:color="auto"/>
            <w:right w:val="none" w:sz="0" w:space="0" w:color="auto"/>
          </w:divBdr>
        </w:div>
        <w:div w:id="648827459">
          <w:marLeft w:val="274"/>
          <w:marRight w:val="0"/>
          <w:marTop w:val="0"/>
          <w:marBottom w:val="120"/>
          <w:divBdr>
            <w:top w:val="none" w:sz="0" w:space="0" w:color="auto"/>
            <w:left w:val="none" w:sz="0" w:space="0" w:color="auto"/>
            <w:bottom w:val="none" w:sz="0" w:space="0" w:color="auto"/>
            <w:right w:val="none" w:sz="0" w:space="0" w:color="auto"/>
          </w:divBdr>
        </w:div>
        <w:div w:id="978654164">
          <w:marLeft w:val="274"/>
          <w:marRight w:val="0"/>
          <w:marTop w:val="0"/>
          <w:marBottom w:val="120"/>
          <w:divBdr>
            <w:top w:val="none" w:sz="0" w:space="0" w:color="auto"/>
            <w:left w:val="none" w:sz="0" w:space="0" w:color="auto"/>
            <w:bottom w:val="none" w:sz="0" w:space="0" w:color="auto"/>
            <w:right w:val="none" w:sz="0" w:space="0" w:color="auto"/>
          </w:divBdr>
        </w:div>
        <w:div w:id="1112358424">
          <w:marLeft w:val="274"/>
          <w:marRight w:val="0"/>
          <w:marTop w:val="0"/>
          <w:marBottom w:val="120"/>
          <w:divBdr>
            <w:top w:val="none" w:sz="0" w:space="0" w:color="auto"/>
            <w:left w:val="none" w:sz="0" w:space="0" w:color="auto"/>
            <w:bottom w:val="none" w:sz="0" w:space="0" w:color="auto"/>
            <w:right w:val="none" w:sz="0" w:space="0" w:color="auto"/>
          </w:divBdr>
        </w:div>
        <w:div w:id="1153714367">
          <w:marLeft w:val="274"/>
          <w:marRight w:val="0"/>
          <w:marTop w:val="0"/>
          <w:marBottom w:val="120"/>
          <w:divBdr>
            <w:top w:val="none" w:sz="0" w:space="0" w:color="auto"/>
            <w:left w:val="none" w:sz="0" w:space="0" w:color="auto"/>
            <w:bottom w:val="none" w:sz="0" w:space="0" w:color="auto"/>
            <w:right w:val="none" w:sz="0" w:space="0" w:color="auto"/>
          </w:divBdr>
        </w:div>
        <w:div w:id="1430854832">
          <w:marLeft w:val="274"/>
          <w:marRight w:val="0"/>
          <w:marTop w:val="0"/>
          <w:marBottom w:val="120"/>
          <w:divBdr>
            <w:top w:val="none" w:sz="0" w:space="0" w:color="auto"/>
            <w:left w:val="none" w:sz="0" w:space="0" w:color="auto"/>
            <w:bottom w:val="none" w:sz="0" w:space="0" w:color="auto"/>
            <w:right w:val="none" w:sz="0" w:space="0" w:color="auto"/>
          </w:divBdr>
        </w:div>
        <w:div w:id="1911648692">
          <w:marLeft w:val="274"/>
          <w:marRight w:val="0"/>
          <w:marTop w:val="0"/>
          <w:marBottom w:val="120"/>
          <w:divBdr>
            <w:top w:val="none" w:sz="0" w:space="0" w:color="auto"/>
            <w:left w:val="none" w:sz="0" w:space="0" w:color="auto"/>
            <w:bottom w:val="none" w:sz="0" w:space="0" w:color="auto"/>
            <w:right w:val="none" w:sz="0" w:space="0" w:color="auto"/>
          </w:divBdr>
        </w:div>
      </w:divsChild>
    </w:div>
    <w:div w:id="1638681443">
      <w:bodyDiv w:val="1"/>
      <w:marLeft w:val="0"/>
      <w:marRight w:val="0"/>
      <w:marTop w:val="0"/>
      <w:marBottom w:val="0"/>
      <w:divBdr>
        <w:top w:val="none" w:sz="0" w:space="0" w:color="auto"/>
        <w:left w:val="none" w:sz="0" w:space="0" w:color="auto"/>
        <w:bottom w:val="none" w:sz="0" w:space="0" w:color="auto"/>
        <w:right w:val="none" w:sz="0" w:space="0" w:color="auto"/>
      </w:divBdr>
      <w:divsChild>
        <w:div w:id="1028751255">
          <w:marLeft w:val="274"/>
          <w:marRight w:val="0"/>
          <w:marTop w:val="0"/>
          <w:marBottom w:val="120"/>
          <w:divBdr>
            <w:top w:val="none" w:sz="0" w:space="0" w:color="auto"/>
            <w:left w:val="none" w:sz="0" w:space="0" w:color="auto"/>
            <w:bottom w:val="none" w:sz="0" w:space="0" w:color="auto"/>
            <w:right w:val="none" w:sz="0" w:space="0" w:color="auto"/>
          </w:divBdr>
        </w:div>
        <w:div w:id="1703046355">
          <w:marLeft w:val="274"/>
          <w:marRight w:val="0"/>
          <w:marTop w:val="0"/>
          <w:marBottom w:val="120"/>
          <w:divBdr>
            <w:top w:val="none" w:sz="0" w:space="0" w:color="auto"/>
            <w:left w:val="none" w:sz="0" w:space="0" w:color="auto"/>
            <w:bottom w:val="none" w:sz="0" w:space="0" w:color="auto"/>
            <w:right w:val="none" w:sz="0" w:space="0" w:color="auto"/>
          </w:divBdr>
        </w:div>
        <w:div w:id="1782917301">
          <w:marLeft w:val="274"/>
          <w:marRight w:val="0"/>
          <w:marTop w:val="0"/>
          <w:marBottom w:val="120"/>
          <w:divBdr>
            <w:top w:val="none" w:sz="0" w:space="0" w:color="auto"/>
            <w:left w:val="none" w:sz="0" w:space="0" w:color="auto"/>
            <w:bottom w:val="none" w:sz="0" w:space="0" w:color="auto"/>
            <w:right w:val="none" w:sz="0" w:space="0" w:color="auto"/>
          </w:divBdr>
        </w:div>
      </w:divsChild>
    </w:div>
    <w:div w:id="1711221507">
      <w:bodyDiv w:val="1"/>
      <w:marLeft w:val="0"/>
      <w:marRight w:val="0"/>
      <w:marTop w:val="0"/>
      <w:marBottom w:val="0"/>
      <w:divBdr>
        <w:top w:val="none" w:sz="0" w:space="0" w:color="auto"/>
        <w:left w:val="none" w:sz="0" w:space="0" w:color="auto"/>
        <w:bottom w:val="none" w:sz="0" w:space="0" w:color="auto"/>
        <w:right w:val="none" w:sz="0" w:space="0" w:color="auto"/>
      </w:divBdr>
      <w:divsChild>
        <w:div w:id="486674996">
          <w:marLeft w:val="274"/>
          <w:marRight w:val="0"/>
          <w:marTop w:val="0"/>
          <w:marBottom w:val="120"/>
          <w:divBdr>
            <w:top w:val="none" w:sz="0" w:space="0" w:color="auto"/>
            <w:left w:val="none" w:sz="0" w:space="0" w:color="auto"/>
            <w:bottom w:val="none" w:sz="0" w:space="0" w:color="auto"/>
            <w:right w:val="none" w:sz="0" w:space="0" w:color="auto"/>
          </w:divBdr>
        </w:div>
        <w:div w:id="589237451">
          <w:marLeft w:val="274"/>
          <w:marRight w:val="0"/>
          <w:marTop w:val="0"/>
          <w:marBottom w:val="120"/>
          <w:divBdr>
            <w:top w:val="none" w:sz="0" w:space="0" w:color="auto"/>
            <w:left w:val="none" w:sz="0" w:space="0" w:color="auto"/>
            <w:bottom w:val="none" w:sz="0" w:space="0" w:color="auto"/>
            <w:right w:val="none" w:sz="0" w:space="0" w:color="auto"/>
          </w:divBdr>
        </w:div>
        <w:div w:id="1366100381">
          <w:marLeft w:val="274"/>
          <w:marRight w:val="0"/>
          <w:marTop w:val="0"/>
          <w:marBottom w:val="120"/>
          <w:divBdr>
            <w:top w:val="none" w:sz="0" w:space="0" w:color="auto"/>
            <w:left w:val="none" w:sz="0" w:space="0" w:color="auto"/>
            <w:bottom w:val="none" w:sz="0" w:space="0" w:color="auto"/>
            <w:right w:val="none" w:sz="0" w:space="0" w:color="auto"/>
          </w:divBdr>
        </w:div>
        <w:div w:id="1373113008">
          <w:marLeft w:val="274"/>
          <w:marRight w:val="0"/>
          <w:marTop w:val="0"/>
          <w:marBottom w:val="120"/>
          <w:divBdr>
            <w:top w:val="none" w:sz="0" w:space="0" w:color="auto"/>
            <w:left w:val="none" w:sz="0" w:space="0" w:color="auto"/>
            <w:bottom w:val="none" w:sz="0" w:space="0" w:color="auto"/>
            <w:right w:val="none" w:sz="0" w:space="0" w:color="auto"/>
          </w:divBdr>
        </w:div>
        <w:div w:id="1462308891">
          <w:marLeft w:val="274"/>
          <w:marRight w:val="0"/>
          <w:marTop w:val="0"/>
          <w:marBottom w:val="120"/>
          <w:divBdr>
            <w:top w:val="none" w:sz="0" w:space="0" w:color="auto"/>
            <w:left w:val="none" w:sz="0" w:space="0" w:color="auto"/>
            <w:bottom w:val="none" w:sz="0" w:space="0" w:color="auto"/>
            <w:right w:val="none" w:sz="0" w:space="0" w:color="auto"/>
          </w:divBdr>
        </w:div>
        <w:div w:id="1575630387">
          <w:marLeft w:val="274"/>
          <w:marRight w:val="0"/>
          <w:marTop w:val="0"/>
          <w:marBottom w:val="120"/>
          <w:divBdr>
            <w:top w:val="none" w:sz="0" w:space="0" w:color="auto"/>
            <w:left w:val="none" w:sz="0" w:space="0" w:color="auto"/>
            <w:bottom w:val="none" w:sz="0" w:space="0" w:color="auto"/>
            <w:right w:val="none" w:sz="0" w:space="0" w:color="auto"/>
          </w:divBdr>
        </w:div>
      </w:divsChild>
    </w:div>
    <w:div w:id="1732190047">
      <w:bodyDiv w:val="1"/>
      <w:marLeft w:val="0"/>
      <w:marRight w:val="0"/>
      <w:marTop w:val="0"/>
      <w:marBottom w:val="0"/>
      <w:divBdr>
        <w:top w:val="none" w:sz="0" w:space="0" w:color="auto"/>
        <w:left w:val="none" w:sz="0" w:space="0" w:color="auto"/>
        <w:bottom w:val="none" w:sz="0" w:space="0" w:color="auto"/>
        <w:right w:val="none" w:sz="0" w:space="0" w:color="auto"/>
      </w:divBdr>
      <w:divsChild>
        <w:div w:id="148981545">
          <w:marLeft w:val="288"/>
          <w:marRight w:val="0"/>
          <w:marTop w:val="0"/>
          <w:marBottom w:val="60"/>
          <w:divBdr>
            <w:top w:val="none" w:sz="0" w:space="0" w:color="auto"/>
            <w:left w:val="none" w:sz="0" w:space="0" w:color="auto"/>
            <w:bottom w:val="none" w:sz="0" w:space="0" w:color="auto"/>
            <w:right w:val="none" w:sz="0" w:space="0" w:color="auto"/>
          </w:divBdr>
        </w:div>
        <w:div w:id="446310839">
          <w:marLeft w:val="288"/>
          <w:marRight w:val="0"/>
          <w:marTop w:val="0"/>
          <w:marBottom w:val="60"/>
          <w:divBdr>
            <w:top w:val="none" w:sz="0" w:space="0" w:color="auto"/>
            <w:left w:val="none" w:sz="0" w:space="0" w:color="auto"/>
            <w:bottom w:val="none" w:sz="0" w:space="0" w:color="auto"/>
            <w:right w:val="none" w:sz="0" w:space="0" w:color="auto"/>
          </w:divBdr>
        </w:div>
        <w:div w:id="609971015">
          <w:marLeft w:val="288"/>
          <w:marRight w:val="0"/>
          <w:marTop w:val="0"/>
          <w:marBottom w:val="60"/>
          <w:divBdr>
            <w:top w:val="none" w:sz="0" w:space="0" w:color="auto"/>
            <w:left w:val="none" w:sz="0" w:space="0" w:color="auto"/>
            <w:bottom w:val="none" w:sz="0" w:space="0" w:color="auto"/>
            <w:right w:val="none" w:sz="0" w:space="0" w:color="auto"/>
          </w:divBdr>
        </w:div>
        <w:div w:id="1250459012">
          <w:marLeft w:val="288"/>
          <w:marRight w:val="0"/>
          <w:marTop w:val="0"/>
          <w:marBottom w:val="60"/>
          <w:divBdr>
            <w:top w:val="none" w:sz="0" w:space="0" w:color="auto"/>
            <w:left w:val="none" w:sz="0" w:space="0" w:color="auto"/>
            <w:bottom w:val="none" w:sz="0" w:space="0" w:color="auto"/>
            <w:right w:val="none" w:sz="0" w:space="0" w:color="auto"/>
          </w:divBdr>
        </w:div>
        <w:div w:id="1588423403">
          <w:marLeft w:val="288"/>
          <w:marRight w:val="0"/>
          <w:marTop w:val="0"/>
          <w:marBottom w:val="60"/>
          <w:divBdr>
            <w:top w:val="none" w:sz="0" w:space="0" w:color="auto"/>
            <w:left w:val="none" w:sz="0" w:space="0" w:color="auto"/>
            <w:bottom w:val="none" w:sz="0" w:space="0" w:color="auto"/>
            <w:right w:val="none" w:sz="0" w:space="0" w:color="auto"/>
          </w:divBdr>
        </w:div>
        <w:div w:id="1707102616">
          <w:marLeft w:val="288"/>
          <w:marRight w:val="0"/>
          <w:marTop w:val="0"/>
          <w:marBottom w:val="60"/>
          <w:divBdr>
            <w:top w:val="none" w:sz="0" w:space="0" w:color="auto"/>
            <w:left w:val="none" w:sz="0" w:space="0" w:color="auto"/>
            <w:bottom w:val="none" w:sz="0" w:space="0" w:color="auto"/>
            <w:right w:val="none" w:sz="0" w:space="0" w:color="auto"/>
          </w:divBdr>
        </w:div>
        <w:div w:id="1707172908">
          <w:marLeft w:val="288"/>
          <w:marRight w:val="0"/>
          <w:marTop w:val="0"/>
          <w:marBottom w:val="60"/>
          <w:divBdr>
            <w:top w:val="none" w:sz="0" w:space="0" w:color="auto"/>
            <w:left w:val="none" w:sz="0" w:space="0" w:color="auto"/>
            <w:bottom w:val="none" w:sz="0" w:space="0" w:color="auto"/>
            <w:right w:val="none" w:sz="0" w:space="0" w:color="auto"/>
          </w:divBdr>
        </w:div>
        <w:div w:id="1779569862">
          <w:marLeft w:val="288"/>
          <w:marRight w:val="0"/>
          <w:marTop w:val="0"/>
          <w:marBottom w:val="60"/>
          <w:divBdr>
            <w:top w:val="none" w:sz="0" w:space="0" w:color="auto"/>
            <w:left w:val="none" w:sz="0" w:space="0" w:color="auto"/>
            <w:bottom w:val="none" w:sz="0" w:space="0" w:color="auto"/>
            <w:right w:val="none" w:sz="0" w:space="0" w:color="auto"/>
          </w:divBdr>
        </w:div>
      </w:divsChild>
    </w:div>
    <w:div w:id="1782604201">
      <w:bodyDiv w:val="1"/>
      <w:marLeft w:val="0"/>
      <w:marRight w:val="0"/>
      <w:marTop w:val="0"/>
      <w:marBottom w:val="0"/>
      <w:divBdr>
        <w:top w:val="none" w:sz="0" w:space="0" w:color="auto"/>
        <w:left w:val="none" w:sz="0" w:space="0" w:color="auto"/>
        <w:bottom w:val="none" w:sz="0" w:space="0" w:color="auto"/>
        <w:right w:val="none" w:sz="0" w:space="0" w:color="auto"/>
      </w:divBdr>
      <w:divsChild>
        <w:div w:id="104884084">
          <w:marLeft w:val="288"/>
          <w:marRight w:val="0"/>
          <w:marTop w:val="0"/>
          <w:marBottom w:val="120"/>
          <w:divBdr>
            <w:top w:val="none" w:sz="0" w:space="0" w:color="auto"/>
            <w:left w:val="none" w:sz="0" w:space="0" w:color="auto"/>
            <w:bottom w:val="none" w:sz="0" w:space="0" w:color="auto"/>
            <w:right w:val="none" w:sz="0" w:space="0" w:color="auto"/>
          </w:divBdr>
        </w:div>
        <w:div w:id="350449710">
          <w:marLeft w:val="288"/>
          <w:marRight w:val="0"/>
          <w:marTop w:val="0"/>
          <w:marBottom w:val="120"/>
          <w:divBdr>
            <w:top w:val="none" w:sz="0" w:space="0" w:color="auto"/>
            <w:left w:val="none" w:sz="0" w:space="0" w:color="auto"/>
            <w:bottom w:val="none" w:sz="0" w:space="0" w:color="auto"/>
            <w:right w:val="none" w:sz="0" w:space="0" w:color="auto"/>
          </w:divBdr>
        </w:div>
        <w:div w:id="748580919">
          <w:marLeft w:val="288"/>
          <w:marRight w:val="0"/>
          <w:marTop w:val="0"/>
          <w:marBottom w:val="120"/>
          <w:divBdr>
            <w:top w:val="none" w:sz="0" w:space="0" w:color="auto"/>
            <w:left w:val="none" w:sz="0" w:space="0" w:color="auto"/>
            <w:bottom w:val="none" w:sz="0" w:space="0" w:color="auto"/>
            <w:right w:val="none" w:sz="0" w:space="0" w:color="auto"/>
          </w:divBdr>
        </w:div>
        <w:div w:id="786046678">
          <w:marLeft w:val="288"/>
          <w:marRight w:val="0"/>
          <w:marTop w:val="0"/>
          <w:marBottom w:val="120"/>
          <w:divBdr>
            <w:top w:val="none" w:sz="0" w:space="0" w:color="auto"/>
            <w:left w:val="none" w:sz="0" w:space="0" w:color="auto"/>
            <w:bottom w:val="none" w:sz="0" w:space="0" w:color="auto"/>
            <w:right w:val="none" w:sz="0" w:space="0" w:color="auto"/>
          </w:divBdr>
        </w:div>
        <w:div w:id="823549760">
          <w:marLeft w:val="288"/>
          <w:marRight w:val="0"/>
          <w:marTop w:val="0"/>
          <w:marBottom w:val="120"/>
          <w:divBdr>
            <w:top w:val="none" w:sz="0" w:space="0" w:color="auto"/>
            <w:left w:val="none" w:sz="0" w:space="0" w:color="auto"/>
            <w:bottom w:val="none" w:sz="0" w:space="0" w:color="auto"/>
            <w:right w:val="none" w:sz="0" w:space="0" w:color="auto"/>
          </w:divBdr>
        </w:div>
        <w:div w:id="1171943313">
          <w:marLeft w:val="288"/>
          <w:marRight w:val="0"/>
          <w:marTop w:val="0"/>
          <w:marBottom w:val="120"/>
          <w:divBdr>
            <w:top w:val="none" w:sz="0" w:space="0" w:color="auto"/>
            <w:left w:val="none" w:sz="0" w:space="0" w:color="auto"/>
            <w:bottom w:val="none" w:sz="0" w:space="0" w:color="auto"/>
            <w:right w:val="none" w:sz="0" w:space="0" w:color="auto"/>
          </w:divBdr>
        </w:div>
        <w:div w:id="1957329945">
          <w:marLeft w:val="288"/>
          <w:marRight w:val="0"/>
          <w:marTop w:val="0"/>
          <w:marBottom w:val="120"/>
          <w:divBdr>
            <w:top w:val="none" w:sz="0" w:space="0" w:color="auto"/>
            <w:left w:val="none" w:sz="0" w:space="0" w:color="auto"/>
            <w:bottom w:val="none" w:sz="0" w:space="0" w:color="auto"/>
            <w:right w:val="none" w:sz="0" w:space="0" w:color="auto"/>
          </w:divBdr>
        </w:div>
      </w:divsChild>
    </w:div>
    <w:div w:id="1790512471">
      <w:bodyDiv w:val="1"/>
      <w:marLeft w:val="0"/>
      <w:marRight w:val="0"/>
      <w:marTop w:val="0"/>
      <w:marBottom w:val="0"/>
      <w:divBdr>
        <w:top w:val="none" w:sz="0" w:space="0" w:color="auto"/>
        <w:left w:val="none" w:sz="0" w:space="0" w:color="auto"/>
        <w:bottom w:val="none" w:sz="0" w:space="0" w:color="auto"/>
        <w:right w:val="none" w:sz="0" w:space="0" w:color="auto"/>
      </w:divBdr>
      <w:divsChild>
        <w:div w:id="482159552">
          <w:marLeft w:val="274"/>
          <w:marRight w:val="0"/>
          <w:marTop w:val="0"/>
          <w:marBottom w:val="120"/>
          <w:divBdr>
            <w:top w:val="none" w:sz="0" w:space="0" w:color="auto"/>
            <w:left w:val="none" w:sz="0" w:space="0" w:color="auto"/>
            <w:bottom w:val="none" w:sz="0" w:space="0" w:color="auto"/>
            <w:right w:val="none" w:sz="0" w:space="0" w:color="auto"/>
          </w:divBdr>
        </w:div>
        <w:div w:id="657610921">
          <w:marLeft w:val="274"/>
          <w:marRight w:val="0"/>
          <w:marTop w:val="0"/>
          <w:marBottom w:val="120"/>
          <w:divBdr>
            <w:top w:val="none" w:sz="0" w:space="0" w:color="auto"/>
            <w:left w:val="none" w:sz="0" w:space="0" w:color="auto"/>
            <w:bottom w:val="none" w:sz="0" w:space="0" w:color="auto"/>
            <w:right w:val="none" w:sz="0" w:space="0" w:color="auto"/>
          </w:divBdr>
        </w:div>
        <w:div w:id="1061099112">
          <w:marLeft w:val="274"/>
          <w:marRight w:val="0"/>
          <w:marTop w:val="0"/>
          <w:marBottom w:val="120"/>
          <w:divBdr>
            <w:top w:val="none" w:sz="0" w:space="0" w:color="auto"/>
            <w:left w:val="none" w:sz="0" w:space="0" w:color="auto"/>
            <w:bottom w:val="none" w:sz="0" w:space="0" w:color="auto"/>
            <w:right w:val="none" w:sz="0" w:space="0" w:color="auto"/>
          </w:divBdr>
        </w:div>
        <w:div w:id="1341278874">
          <w:marLeft w:val="274"/>
          <w:marRight w:val="0"/>
          <w:marTop w:val="0"/>
          <w:marBottom w:val="120"/>
          <w:divBdr>
            <w:top w:val="none" w:sz="0" w:space="0" w:color="auto"/>
            <w:left w:val="none" w:sz="0" w:space="0" w:color="auto"/>
            <w:bottom w:val="none" w:sz="0" w:space="0" w:color="auto"/>
            <w:right w:val="none" w:sz="0" w:space="0" w:color="auto"/>
          </w:divBdr>
        </w:div>
        <w:div w:id="1946384511">
          <w:marLeft w:val="274"/>
          <w:marRight w:val="0"/>
          <w:marTop w:val="0"/>
          <w:marBottom w:val="120"/>
          <w:divBdr>
            <w:top w:val="none" w:sz="0" w:space="0" w:color="auto"/>
            <w:left w:val="none" w:sz="0" w:space="0" w:color="auto"/>
            <w:bottom w:val="none" w:sz="0" w:space="0" w:color="auto"/>
            <w:right w:val="none" w:sz="0" w:space="0" w:color="auto"/>
          </w:divBdr>
        </w:div>
        <w:div w:id="1974559349">
          <w:marLeft w:val="274"/>
          <w:marRight w:val="0"/>
          <w:marTop w:val="0"/>
          <w:marBottom w:val="120"/>
          <w:divBdr>
            <w:top w:val="none" w:sz="0" w:space="0" w:color="auto"/>
            <w:left w:val="none" w:sz="0" w:space="0" w:color="auto"/>
            <w:bottom w:val="none" w:sz="0" w:space="0" w:color="auto"/>
            <w:right w:val="none" w:sz="0" w:space="0" w:color="auto"/>
          </w:divBdr>
        </w:div>
      </w:divsChild>
    </w:div>
    <w:div w:id="1820606501">
      <w:bodyDiv w:val="1"/>
      <w:marLeft w:val="0"/>
      <w:marRight w:val="0"/>
      <w:marTop w:val="0"/>
      <w:marBottom w:val="0"/>
      <w:divBdr>
        <w:top w:val="none" w:sz="0" w:space="0" w:color="auto"/>
        <w:left w:val="none" w:sz="0" w:space="0" w:color="auto"/>
        <w:bottom w:val="none" w:sz="0" w:space="0" w:color="auto"/>
        <w:right w:val="none" w:sz="0" w:space="0" w:color="auto"/>
      </w:divBdr>
    </w:div>
    <w:div w:id="1850173086">
      <w:bodyDiv w:val="1"/>
      <w:marLeft w:val="0"/>
      <w:marRight w:val="0"/>
      <w:marTop w:val="0"/>
      <w:marBottom w:val="0"/>
      <w:divBdr>
        <w:top w:val="none" w:sz="0" w:space="0" w:color="auto"/>
        <w:left w:val="none" w:sz="0" w:space="0" w:color="auto"/>
        <w:bottom w:val="none" w:sz="0" w:space="0" w:color="auto"/>
        <w:right w:val="none" w:sz="0" w:space="0" w:color="auto"/>
      </w:divBdr>
      <w:divsChild>
        <w:div w:id="181011995">
          <w:marLeft w:val="288"/>
          <w:marRight w:val="0"/>
          <w:marTop w:val="0"/>
          <w:marBottom w:val="160"/>
          <w:divBdr>
            <w:top w:val="none" w:sz="0" w:space="0" w:color="auto"/>
            <w:left w:val="none" w:sz="0" w:space="0" w:color="auto"/>
            <w:bottom w:val="none" w:sz="0" w:space="0" w:color="auto"/>
            <w:right w:val="none" w:sz="0" w:space="0" w:color="auto"/>
          </w:divBdr>
        </w:div>
        <w:div w:id="1276211500">
          <w:marLeft w:val="288"/>
          <w:marRight w:val="0"/>
          <w:marTop w:val="0"/>
          <w:marBottom w:val="160"/>
          <w:divBdr>
            <w:top w:val="none" w:sz="0" w:space="0" w:color="auto"/>
            <w:left w:val="none" w:sz="0" w:space="0" w:color="auto"/>
            <w:bottom w:val="none" w:sz="0" w:space="0" w:color="auto"/>
            <w:right w:val="none" w:sz="0" w:space="0" w:color="auto"/>
          </w:divBdr>
        </w:div>
        <w:div w:id="1403288070">
          <w:marLeft w:val="288"/>
          <w:marRight w:val="0"/>
          <w:marTop w:val="0"/>
          <w:marBottom w:val="160"/>
          <w:divBdr>
            <w:top w:val="none" w:sz="0" w:space="0" w:color="auto"/>
            <w:left w:val="none" w:sz="0" w:space="0" w:color="auto"/>
            <w:bottom w:val="none" w:sz="0" w:space="0" w:color="auto"/>
            <w:right w:val="none" w:sz="0" w:space="0" w:color="auto"/>
          </w:divBdr>
        </w:div>
      </w:divsChild>
    </w:div>
    <w:div w:id="1857301477">
      <w:bodyDiv w:val="1"/>
      <w:marLeft w:val="0"/>
      <w:marRight w:val="0"/>
      <w:marTop w:val="0"/>
      <w:marBottom w:val="0"/>
      <w:divBdr>
        <w:top w:val="none" w:sz="0" w:space="0" w:color="auto"/>
        <w:left w:val="none" w:sz="0" w:space="0" w:color="auto"/>
        <w:bottom w:val="none" w:sz="0" w:space="0" w:color="auto"/>
        <w:right w:val="none" w:sz="0" w:space="0" w:color="auto"/>
      </w:divBdr>
      <w:divsChild>
        <w:div w:id="115759978">
          <w:marLeft w:val="288"/>
          <w:marRight w:val="0"/>
          <w:marTop w:val="0"/>
          <w:marBottom w:val="80"/>
          <w:divBdr>
            <w:top w:val="none" w:sz="0" w:space="0" w:color="auto"/>
            <w:left w:val="none" w:sz="0" w:space="0" w:color="auto"/>
            <w:bottom w:val="none" w:sz="0" w:space="0" w:color="auto"/>
            <w:right w:val="none" w:sz="0" w:space="0" w:color="auto"/>
          </w:divBdr>
        </w:div>
        <w:div w:id="489562146">
          <w:marLeft w:val="288"/>
          <w:marRight w:val="0"/>
          <w:marTop w:val="0"/>
          <w:marBottom w:val="80"/>
          <w:divBdr>
            <w:top w:val="none" w:sz="0" w:space="0" w:color="auto"/>
            <w:left w:val="none" w:sz="0" w:space="0" w:color="auto"/>
            <w:bottom w:val="none" w:sz="0" w:space="0" w:color="auto"/>
            <w:right w:val="none" w:sz="0" w:space="0" w:color="auto"/>
          </w:divBdr>
        </w:div>
        <w:div w:id="522793611">
          <w:marLeft w:val="288"/>
          <w:marRight w:val="0"/>
          <w:marTop w:val="0"/>
          <w:marBottom w:val="80"/>
          <w:divBdr>
            <w:top w:val="none" w:sz="0" w:space="0" w:color="auto"/>
            <w:left w:val="none" w:sz="0" w:space="0" w:color="auto"/>
            <w:bottom w:val="none" w:sz="0" w:space="0" w:color="auto"/>
            <w:right w:val="none" w:sz="0" w:space="0" w:color="auto"/>
          </w:divBdr>
        </w:div>
        <w:div w:id="576482344">
          <w:marLeft w:val="288"/>
          <w:marRight w:val="0"/>
          <w:marTop w:val="0"/>
          <w:marBottom w:val="80"/>
          <w:divBdr>
            <w:top w:val="none" w:sz="0" w:space="0" w:color="auto"/>
            <w:left w:val="none" w:sz="0" w:space="0" w:color="auto"/>
            <w:bottom w:val="none" w:sz="0" w:space="0" w:color="auto"/>
            <w:right w:val="none" w:sz="0" w:space="0" w:color="auto"/>
          </w:divBdr>
        </w:div>
        <w:div w:id="965700081">
          <w:marLeft w:val="288"/>
          <w:marRight w:val="0"/>
          <w:marTop w:val="0"/>
          <w:marBottom w:val="80"/>
          <w:divBdr>
            <w:top w:val="none" w:sz="0" w:space="0" w:color="auto"/>
            <w:left w:val="none" w:sz="0" w:space="0" w:color="auto"/>
            <w:bottom w:val="none" w:sz="0" w:space="0" w:color="auto"/>
            <w:right w:val="none" w:sz="0" w:space="0" w:color="auto"/>
          </w:divBdr>
        </w:div>
        <w:div w:id="1539662902">
          <w:marLeft w:val="288"/>
          <w:marRight w:val="0"/>
          <w:marTop w:val="0"/>
          <w:marBottom w:val="80"/>
          <w:divBdr>
            <w:top w:val="none" w:sz="0" w:space="0" w:color="auto"/>
            <w:left w:val="none" w:sz="0" w:space="0" w:color="auto"/>
            <w:bottom w:val="none" w:sz="0" w:space="0" w:color="auto"/>
            <w:right w:val="none" w:sz="0" w:space="0" w:color="auto"/>
          </w:divBdr>
        </w:div>
        <w:div w:id="1803845175">
          <w:marLeft w:val="288"/>
          <w:marRight w:val="0"/>
          <w:marTop w:val="0"/>
          <w:marBottom w:val="80"/>
          <w:divBdr>
            <w:top w:val="none" w:sz="0" w:space="0" w:color="auto"/>
            <w:left w:val="none" w:sz="0" w:space="0" w:color="auto"/>
            <w:bottom w:val="none" w:sz="0" w:space="0" w:color="auto"/>
            <w:right w:val="none" w:sz="0" w:space="0" w:color="auto"/>
          </w:divBdr>
        </w:div>
        <w:div w:id="1903442160">
          <w:marLeft w:val="288"/>
          <w:marRight w:val="0"/>
          <w:marTop w:val="0"/>
          <w:marBottom w:val="80"/>
          <w:divBdr>
            <w:top w:val="none" w:sz="0" w:space="0" w:color="auto"/>
            <w:left w:val="none" w:sz="0" w:space="0" w:color="auto"/>
            <w:bottom w:val="none" w:sz="0" w:space="0" w:color="auto"/>
            <w:right w:val="none" w:sz="0" w:space="0" w:color="auto"/>
          </w:divBdr>
        </w:div>
      </w:divsChild>
    </w:div>
    <w:div w:id="1867399856">
      <w:bodyDiv w:val="1"/>
      <w:marLeft w:val="0"/>
      <w:marRight w:val="0"/>
      <w:marTop w:val="0"/>
      <w:marBottom w:val="0"/>
      <w:divBdr>
        <w:top w:val="none" w:sz="0" w:space="0" w:color="auto"/>
        <w:left w:val="none" w:sz="0" w:space="0" w:color="auto"/>
        <w:bottom w:val="none" w:sz="0" w:space="0" w:color="auto"/>
        <w:right w:val="none" w:sz="0" w:space="0" w:color="auto"/>
      </w:divBdr>
    </w:div>
    <w:div w:id="1896502432">
      <w:bodyDiv w:val="1"/>
      <w:marLeft w:val="0"/>
      <w:marRight w:val="0"/>
      <w:marTop w:val="0"/>
      <w:marBottom w:val="0"/>
      <w:divBdr>
        <w:top w:val="none" w:sz="0" w:space="0" w:color="auto"/>
        <w:left w:val="none" w:sz="0" w:space="0" w:color="auto"/>
        <w:bottom w:val="none" w:sz="0" w:space="0" w:color="auto"/>
        <w:right w:val="none" w:sz="0" w:space="0" w:color="auto"/>
      </w:divBdr>
      <w:divsChild>
        <w:div w:id="640427043">
          <w:marLeft w:val="288"/>
          <w:marRight w:val="0"/>
          <w:marTop w:val="0"/>
          <w:marBottom w:val="160"/>
          <w:divBdr>
            <w:top w:val="none" w:sz="0" w:space="0" w:color="auto"/>
            <w:left w:val="none" w:sz="0" w:space="0" w:color="auto"/>
            <w:bottom w:val="none" w:sz="0" w:space="0" w:color="auto"/>
            <w:right w:val="none" w:sz="0" w:space="0" w:color="auto"/>
          </w:divBdr>
        </w:div>
        <w:div w:id="800807764">
          <w:marLeft w:val="288"/>
          <w:marRight w:val="0"/>
          <w:marTop w:val="0"/>
          <w:marBottom w:val="160"/>
          <w:divBdr>
            <w:top w:val="none" w:sz="0" w:space="0" w:color="auto"/>
            <w:left w:val="none" w:sz="0" w:space="0" w:color="auto"/>
            <w:bottom w:val="none" w:sz="0" w:space="0" w:color="auto"/>
            <w:right w:val="none" w:sz="0" w:space="0" w:color="auto"/>
          </w:divBdr>
        </w:div>
        <w:div w:id="1276863536">
          <w:marLeft w:val="288"/>
          <w:marRight w:val="0"/>
          <w:marTop w:val="0"/>
          <w:marBottom w:val="160"/>
          <w:divBdr>
            <w:top w:val="none" w:sz="0" w:space="0" w:color="auto"/>
            <w:left w:val="none" w:sz="0" w:space="0" w:color="auto"/>
            <w:bottom w:val="none" w:sz="0" w:space="0" w:color="auto"/>
            <w:right w:val="none" w:sz="0" w:space="0" w:color="auto"/>
          </w:divBdr>
        </w:div>
      </w:divsChild>
    </w:div>
    <w:div w:id="1956867485">
      <w:bodyDiv w:val="1"/>
      <w:marLeft w:val="0"/>
      <w:marRight w:val="0"/>
      <w:marTop w:val="0"/>
      <w:marBottom w:val="0"/>
      <w:divBdr>
        <w:top w:val="none" w:sz="0" w:space="0" w:color="auto"/>
        <w:left w:val="none" w:sz="0" w:space="0" w:color="auto"/>
        <w:bottom w:val="none" w:sz="0" w:space="0" w:color="auto"/>
        <w:right w:val="none" w:sz="0" w:space="0" w:color="auto"/>
      </w:divBdr>
    </w:div>
    <w:div w:id="2017002517">
      <w:bodyDiv w:val="1"/>
      <w:marLeft w:val="0"/>
      <w:marRight w:val="0"/>
      <w:marTop w:val="0"/>
      <w:marBottom w:val="0"/>
      <w:divBdr>
        <w:top w:val="none" w:sz="0" w:space="0" w:color="auto"/>
        <w:left w:val="none" w:sz="0" w:space="0" w:color="auto"/>
        <w:bottom w:val="none" w:sz="0" w:space="0" w:color="auto"/>
        <w:right w:val="none" w:sz="0" w:space="0" w:color="auto"/>
      </w:divBdr>
      <w:divsChild>
        <w:div w:id="337852950">
          <w:marLeft w:val="288"/>
          <w:marRight w:val="0"/>
          <w:marTop w:val="0"/>
          <w:marBottom w:val="120"/>
          <w:divBdr>
            <w:top w:val="none" w:sz="0" w:space="0" w:color="auto"/>
            <w:left w:val="none" w:sz="0" w:space="0" w:color="auto"/>
            <w:bottom w:val="none" w:sz="0" w:space="0" w:color="auto"/>
            <w:right w:val="none" w:sz="0" w:space="0" w:color="auto"/>
          </w:divBdr>
        </w:div>
        <w:div w:id="712271556">
          <w:marLeft w:val="288"/>
          <w:marRight w:val="0"/>
          <w:marTop w:val="0"/>
          <w:marBottom w:val="120"/>
          <w:divBdr>
            <w:top w:val="none" w:sz="0" w:space="0" w:color="auto"/>
            <w:left w:val="none" w:sz="0" w:space="0" w:color="auto"/>
            <w:bottom w:val="none" w:sz="0" w:space="0" w:color="auto"/>
            <w:right w:val="none" w:sz="0" w:space="0" w:color="auto"/>
          </w:divBdr>
        </w:div>
        <w:div w:id="1146315955">
          <w:marLeft w:val="288"/>
          <w:marRight w:val="0"/>
          <w:marTop w:val="0"/>
          <w:marBottom w:val="120"/>
          <w:divBdr>
            <w:top w:val="none" w:sz="0" w:space="0" w:color="auto"/>
            <w:left w:val="none" w:sz="0" w:space="0" w:color="auto"/>
            <w:bottom w:val="none" w:sz="0" w:space="0" w:color="auto"/>
            <w:right w:val="none" w:sz="0" w:space="0" w:color="auto"/>
          </w:divBdr>
        </w:div>
        <w:div w:id="1691645716">
          <w:marLeft w:val="288"/>
          <w:marRight w:val="0"/>
          <w:marTop w:val="0"/>
          <w:marBottom w:val="120"/>
          <w:divBdr>
            <w:top w:val="none" w:sz="0" w:space="0" w:color="auto"/>
            <w:left w:val="none" w:sz="0" w:space="0" w:color="auto"/>
            <w:bottom w:val="none" w:sz="0" w:space="0" w:color="auto"/>
            <w:right w:val="none" w:sz="0" w:space="0" w:color="auto"/>
          </w:divBdr>
        </w:div>
        <w:div w:id="1700810414">
          <w:marLeft w:val="288"/>
          <w:marRight w:val="0"/>
          <w:marTop w:val="0"/>
          <w:marBottom w:val="120"/>
          <w:divBdr>
            <w:top w:val="none" w:sz="0" w:space="0" w:color="auto"/>
            <w:left w:val="none" w:sz="0" w:space="0" w:color="auto"/>
            <w:bottom w:val="none" w:sz="0" w:space="0" w:color="auto"/>
            <w:right w:val="none" w:sz="0" w:space="0" w:color="auto"/>
          </w:divBdr>
        </w:div>
        <w:div w:id="1873497611">
          <w:marLeft w:val="288"/>
          <w:marRight w:val="0"/>
          <w:marTop w:val="0"/>
          <w:marBottom w:val="120"/>
          <w:divBdr>
            <w:top w:val="none" w:sz="0" w:space="0" w:color="auto"/>
            <w:left w:val="none" w:sz="0" w:space="0" w:color="auto"/>
            <w:bottom w:val="none" w:sz="0" w:space="0" w:color="auto"/>
            <w:right w:val="none" w:sz="0" w:space="0" w:color="auto"/>
          </w:divBdr>
        </w:div>
        <w:div w:id="2112359758">
          <w:marLeft w:val="288"/>
          <w:marRight w:val="0"/>
          <w:marTop w:val="0"/>
          <w:marBottom w:val="120"/>
          <w:divBdr>
            <w:top w:val="none" w:sz="0" w:space="0" w:color="auto"/>
            <w:left w:val="none" w:sz="0" w:space="0" w:color="auto"/>
            <w:bottom w:val="none" w:sz="0" w:space="0" w:color="auto"/>
            <w:right w:val="none" w:sz="0" w:space="0" w:color="auto"/>
          </w:divBdr>
        </w:div>
      </w:divsChild>
    </w:div>
    <w:div w:id="2018917389">
      <w:bodyDiv w:val="1"/>
      <w:marLeft w:val="0"/>
      <w:marRight w:val="0"/>
      <w:marTop w:val="0"/>
      <w:marBottom w:val="0"/>
      <w:divBdr>
        <w:top w:val="none" w:sz="0" w:space="0" w:color="auto"/>
        <w:left w:val="none" w:sz="0" w:space="0" w:color="auto"/>
        <w:bottom w:val="none" w:sz="0" w:space="0" w:color="auto"/>
        <w:right w:val="none" w:sz="0" w:space="0" w:color="auto"/>
      </w:divBdr>
      <w:divsChild>
        <w:div w:id="47338949">
          <w:marLeft w:val="274"/>
          <w:marRight w:val="0"/>
          <w:marTop w:val="0"/>
          <w:marBottom w:val="60"/>
          <w:divBdr>
            <w:top w:val="none" w:sz="0" w:space="0" w:color="auto"/>
            <w:left w:val="none" w:sz="0" w:space="0" w:color="auto"/>
            <w:bottom w:val="none" w:sz="0" w:space="0" w:color="auto"/>
            <w:right w:val="none" w:sz="0" w:space="0" w:color="auto"/>
          </w:divBdr>
        </w:div>
        <w:div w:id="260920167">
          <w:marLeft w:val="274"/>
          <w:marRight w:val="0"/>
          <w:marTop w:val="0"/>
          <w:marBottom w:val="60"/>
          <w:divBdr>
            <w:top w:val="none" w:sz="0" w:space="0" w:color="auto"/>
            <w:left w:val="none" w:sz="0" w:space="0" w:color="auto"/>
            <w:bottom w:val="none" w:sz="0" w:space="0" w:color="auto"/>
            <w:right w:val="none" w:sz="0" w:space="0" w:color="auto"/>
          </w:divBdr>
        </w:div>
        <w:div w:id="372584353">
          <w:marLeft w:val="274"/>
          <w:marRight w:val="0"/>
          <w:marTop w:val="0"/>
          <w:marBottom w:val="60"/>
          <w:divBdr>
            <w:top w:val="none" w:sz="0" w:space="0" w:color="auto"/>
            <w:left w:val="none" w:sz="0" w:space="0" w:color="auto"/>
            <w:bottom w:val="none" w:sz="0" w:space="0" w:color="auto"/>
            <w:right w:val="none" w:sz="0" w:space="0" w:color="auto"/>
          </w:divBdr>
        </w:div>
        <w:div w:id="464468351">
          <w:marLeft w:val="274"/>
          <w:marRight w:val="0"/>
          <w:marTop w:val="0"/>
          <w:marBottom w:val="60"/>
          <w:divBdr>
            <w:top w:val="none" w:sz="0" w:space="0" w:color="auto"/>
            <w:left w:val="none" w:sz="0" w:space="0" w:color="auto"/>
            <w:bottom w:val="none" w:sz="0" w:space="0" w:color="auto"/>
            <w:right w:val="none" w:sz="0" w:space="0" w:color="auto"/>
          </w:divBdr>
        </w:div>
        <w:div w:id="613369938">
          <w:marLeft w:val="274"/>
          <w:marRight w:val="0"/>
          <w:marTop w:val="0"/>
          <w:marBottom w:val="60"/>
          <w:divBdr>
            <w:top w:val="none" w:sz="0" w:space="0" w:color="auto"/>
            <w:left w:val="none" w:sz="0" w:space="0" w:color="auto"/>
            <w:bottom w:val="none" w:sz="0" w:space="0" w:color="auto"/>
            <w:right w:val="none" w:sz="0" w:space="0" w:color="auto"/>
          </w:divBdr>
        </w:div>
        <w:div w:id="728967182">
          <w:marLeft w:val="274"/>
          <w:marRight w:val="0"/>
          <w:marTop w:val="0"/>
          <w:marBottom w:val="60"/>
          <w:divBdr>
            <w:top w:val="none" w:sz="0" w:space="0" w:color="auto"/>
            <w:left w:val="none" w:sz="0" w:space="0" w:color="auto"/>
            <w:bottom w:val="none" w:sz="0" w:space="0" w:color="auto"/>
            <w:right w:val="none" w:sz="0" w:space="0" w:color="auto"/>
          </w:divBdr>
        </w:div>
        <w:div w:id="892043257">
          <w:marLeft w:val="274"/>
          <w:marRight w:val="0"/>
          <w:marTop w:val="0"/>
          <w:marBottom w:val="60"/>
          <w:divBdr>
            <w:top w:val="none" w:sz="0" w:space="0" w:color="auto"/>
            <w:left w:val="none" w:sz="0" w:space="0" w:color="auto"/>
            <w:bottom w:val="none" w:sz="0" w:space="0" w:color="auto"/>
            <w:right w:val="none" w:sz="0" w:space="0" w:color="auto"/>
          </w:divBdr>
        </w:div>
        <w:div w:id="1274941651">
          <w:marLeft w:val="274"/>
          <w:marRight w:val="0"/>
          <w:marTop w:val="0"/>
          <w:marBottom w:val="60"/>
          <w:divBdr>
            <w:top w:val="none" w:sz="0" w:space="0" w:color="auto"/>
            <w:left w:val="none" w:sz="0" w:space="0" w:color="auto"/>
            <w:bottom w:val="none" w:sz="0" w:space="0" w:color="auto"/>
            <w:right w:val="none" w:sz="0" w:space="0" w:color="auto"/>
          </w:divBdr>
        </w:div>
        <w:div w:id="1886522600">
          <w:marLeft w:val="274"/>
          <w:marRight w:val="0"/>
          <w:marTop w:val="0"/>
          <w:marBottom w:val="60"/>
          <w:divBdr>
            <w:top w:val="none" w:sz="0" w:space="0" w:color="auto"/>
            <w:left w:val="none" w:sz="0" w:space="0" w:color="auto"/>
            <w:bottom w:val="none" w:sz="0" w:space="0" w:color="auto"/>
            <w:right w:val="none" w:sz="0" w:space="0" w:color="auto"/>
          </w:divBdr>
        </w:div>
      </w:divsChild>
    </w:div>
    <w:div w:id="2050563609">
      <w:bodyDiv w:val="1"/>
      <w:marLeft w:val="0"/>
      <w:marRight w:val="0"/>
      <w:marTop w:val="0"/>
      <w:marBottom w:val="0"/>
      <w:divBdr>
        <w:top w:val="none" w:sz="0" w:space="0" w:color="auto"/>
        <w:left w:val="none" w:sz="0" w:space="0" w:color="auto"/>
        <w:bottom w:val="none" w:sz="0" w:space="0" w:color="auto"/>
        <w:right w:val="none" w:sz="0" w:space="0" w:color="auto"/>
      </w:divBdr>
    </w:div>
    <w:div w:id="2100561282">
      <w:bodyDiv w:val="1"/>
      <w:marLeft w:val="0"/>
      <w:marRight w:val="0"/>
      <w:marTop w:val="0"/>
      <w:marBottom w:val="0"/>
      <w:divBdr>
        <w:top w:val="none" w:sz="0" w:space="0" w:color="auto"/>
        <w:left w:val="none" w:sz="0" w:space="0" w:color="auto"/>
        <w:bottom w:val="none" w:sz="0" w:space="0" w:color="auto"/>
        <w:right w:val="none" w:sz="0" w:space="0" w:color="auto"/>
      </w:divBdr>
      <w:divsChild>
        <w:div w:id="77295764">
          <w:marLeft w:val="274"/>
          <w:marRight w:val="0"/>
          <w:marTop w:val="0"/>
          <w:marBottom w:val="120"/>
          <w:divBdr>
            <w:top w:val="none" w:sz="0" w:space="0" w:color="auto"/>
            <w:left w:val="none" w:sz="0" w:space="0" w:color="auto"/>
            <w:bottom w:val="none" w:sz="0" w:space="0" w:color="auto"/>
            <w:right w:val="none" w:sz="0" w:space="0" w:color="auto"/>
          </w:divBdr>
        </w:div>
      </w:divsChild>
    </w:div>
    <w:div w:id="2146504526">
      <w:bodyDiv w:val="1"/>
      <w:marLeft w:val="0"/>
      <w:marRight w:val="0"/>
      <w:marTop w:val="0"/>
      <w:marBottom w:val="0"/>
      <w:divBdr>
        <w:top w:val="none" w:sz="0" w:space="0" w:color="auto"/>
        <w:left w:val="none" w:sz="0" w:space="0" w:color="auto"/>
        <w:bottom w:val="none" w:sz="0" w:space="0" w:color="auto"/>
        <w:right w:val="none" w:sz="0" w:space="0" w:color="auto"/>
      </w:divBdr>
      <w:divsChild>
        <w:div w:id="435516315">
          <w:marLeft w:val="274"/>
          <w:marRight w:val="0"/>
          <w:marTop w:val="0"/>
          <w:marBottom w:val="120"/>
          <w:divBdr>
            <w:top w:val="none" w:sz="0" w:space="0" w:color="auto"/>
            <w:left w:val="none" w:sz="0" w:space="0" w:color="auto"/>
            <w:bottom w:val="none" w:sz="0" w:space="0" w:color="auto"/>
            <w:right w:val="none" w:sz="0" w:space="0" w:color="auto"/>
          </w:divBdr>
        </w:div>
        <w:div w:id="1118446429">
          <w:marLeft w:val="274"/>
          <w:marRight w:val="0"/>
          <w:marTop w:val="0"/>
          <w:marBottom w:val="120"/>
          <w:divBdr>
            <w:top w:val="none" w:sz="0" w:space="0" w:color="auto"/>
            <w:left w:val="none" w:sz="0" w:space="0" w:color="auto"/>
            <w:bottom w:val="none" w:sz="0" w:space="0" w:color="auto"/>
            <w:right w:val="none" w:sz="0" w:space="0" w:color="auto"/>
          </w:divBdr>
        </w:div>
        <w:div w:id="1820030885">
          <w:marLeft w:val="274"/>
          <w:marRight w:val="0"/>
          <w:marTop w:val="0"/>
          <w:marBottom w:val="120"/>
          <w:divBdr>
            <w:top w:val="none" w:sz="0" w:space="0" w:color="auto"/>
            <w:left w:val="none" w:sz="0" w:space="0" w:color="auto"/>
            <w:bottom w:val="none" w:sz="0" w:space="0" w:color="auto"/>
            <w:right w:val="none" w:sz="0" w:space="0" w:color="auto"/>
          </w:divBdr>
        </w:div>
        <w:div w:id="1963875718">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tmp"/></Relationships>
</file>

<file path=word/charts/_rels/chart1.xml.rels><?xml version="1.0" encoding="UTF-8" standalone="yes"?>
<Relationships xmlns="http://schemas.openxmlformats.org/package/2006/relationships"><Relationship Id="rId3" Type="http://schemas.openxmlformats.org/officeDocument/2006/relationships/oleObject" Target="https://lancashirepolice.sharepoint.com/sites/FPDepartmentTeam-TreasuryManagement/Treasury%20Management%20Docs/26-27/CFR%20graph%20for%20TM%20strategy.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Liability benchmark</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areaChart>
        <c:grouping val="standard"/>
        <c:varyColors val="0"/>
        <c:ser>
          <c:idx val="3"/>
          <c:order val="3"/>
          <c:tx>
            <c:strRef>
              <c:f>Sheet4!$A$11</c:f>
              <c:strCache>
                <c:ptCount val="1"/>
                <c:pt idx="0">
                  <c:v>External borrowing</c:v>
                </c:pt>
              </c:strCache>
            </c:strRef>
          </c:tx>
          <c:spPr>
            <a:solidFill>
              <a:schemeClr val="bg2">
                <a:lumMod val="75000"/>
              </a:schemeClr>
            </a:solidFill>
            <a:ln>
              <a:solidFill>
                <a:schemeClr val="bg2">
                  <a:lumMod val="75000"/>
                </a:schemeClr>
              </a:solidFill>
            </a:ln>
            <a:effectLst/>
          </c:spPr>
          <c:cat>
            <c:numRef>
              <c:f>Sheet4!$B$1:$AZ$1</c:f>
              <c:numCache>
                <c:formatCode>General</c:formatCode>
                <c:ptCount val="51"/>
                <c:pt idx="0">
                  <c:v>2026</c:v>
                </c:pt>
                <c:pt idx="1">
                  <c:v>2027</c:v>
                </c:pt>
                <c:pt idx="2">
                  <c:v>2028</c:v>
                </c:pt>
                <c:pt idx="3">
                  <c:v>2029</c:v>
                </c:pt>
                <c:pt idx="4">
                  <c:v>2030</c:v>
                </c:pt>
                <c:pt idx="5">
                  <c:v>2031</c:v>
                </c:pt>
                <c:pt idx="6">
                  <c:v>2032</c:v>
                </c:pt>
                <c:pt idx="7">
                  <c:v>2033</c:v>
                </c:pt>
                <c:pt idx="8">
                  <c:v>2034</c:v>
                </c:pt>
                <c:pt idx="9">
                  <c:v>2035</c:v>
                </c:pt>
                <c:pt idx="10">
                  <c:v>2036</c:v>
                </c:pt>
                <c:pt idx="11">
                  <c:v>2037</c:v>
                </c:pt>
                <c:pt idx="12">
                  <c:v>2038</c:v>
                </c:pt>
                <c:pt idx="13">
                  <c:v>2039</c:v>
                </c:pt>
                <c:pt idx="14">
                  <c:v>2040</c:v>
                </c:pt>
                <c:pt idx="15">
                  <c:v>2041</c:v>
                </c:pt>
                <c:pt idx="16">
                  <c:v>2042</c:v>
                </c:pt>
                <c:pt idx="17">
                  <c:v>2043</c:v>
                </c:pt>
                <c:pt idx="18">
                  <c:v>2044</c:v>
                </c:pt>
                <c:pt idx="19">
                  <c:v>2045</c:v>
                </c:pt>
                <c:pt idx="20">
                  <c:v>2046</c:v>
                </c:pt>
                <c:pt idx="21">
                  <c:v>2047</c:v>
                </c:pt>
                <c:pt idx="22">
                  <c:v>2048</c:v>
                </c:pt>
                <c:pt idx="23">
                  <c:v>2049</c:v>
                </c:pt>
                <c:pt idx="24">
                  <c:v>2050</c:v>
                </c:pt>
                <c:pt idx="25">
                  <c:v>2051</c:v>
                </c:pt>
                <c:pt idx="26">
                  <c:v>2052</c:v>
                </c:pt>
                <c:pt idx="27">
                  <c:v>2053</c:v>
                </c:pt>
                <c:pt idx="28">
                  <c:v>2054</c:v>
                </c:pt>
                <c:pt idx="29">
                  <c:v>2055</c:v>
                </c:pt>
                <c:pt idx="30">
                  <c:v>2056</c:v>
                </c:pt>
                <c:pt idx="31">
                  <c:v>2057</c:v>
                </c:pt>
                <c:pt idx="32">
                  <c:v>2058</c:v>
                </c:pt>
                <c:pt idx="33">
                  <c:v>2059</c:v>
                </c:pt>
                <c:pt idx="34">
                  <c:v>2060</c:v>
                </c:pt>
                <c:pt idx="35">
                  <c:v>2061</c:v>
                </c:pt>
                <c:pt idx="36">
                  <c:v>2062</c:v>
                </c:pt>
                <c:pt idx="37">
                  <c:v>2063</c:v>
                </c:pt>
                <c:pt idx="38">
                  <c:v>2064</c:v>
                </c:pt>
                <c:pt idx="39">
                  <c:v>2065</c:v>
                </c:pt>
                <c:pt idx="40">
                  <c:v>2066</c:v>
                </c:pt>
                <c:pt idx="41">
                  <c:v>2067</c:v>
                </c:pt>
                <c:pt idx="42">
                  <c:v>2068</c:v>
                </c:pt>
                <c:pt idx="43">
                  <c:v>2069</c:v>
                </c:pt>
                <c:pt idx="44">
                  <c:v>2070</c:v>
                </c:pt>
                <c:pt idx="45">
                  <c:v>2071</c:v>
                </c:pt>
                <c:pt idx="46">
                  <c:v>2072</c:v>
                </c:pt>
                <c:pt idx="47">
                  <c:v>2073</c:v>
                </c:pt>
                <c:pt idx="48">
                  <c:v>2074</c:v>
                </c:pt>
                <c:pt idx="49">
                  <c:v>2075</c:v>
                </c:pt>
              </c:numCache>
            </c:numRef>
          </c:cat>
          <c:val>
            <c:numRef>
              <c:f>Sheet4!$B$11:$AZ$11</c:f>
              <c:numCache>
                <c:formatCode>General</c:formatCode>
                <c:ptCount val="51"/>
                <c:pt idx="0">
                  <c:v>124.413</c:v>
                </c:pt>
                <c:pt idx="1">
                  <c:v>76.438000000000002</c:v>
                </c:pt>
                <c:pt idx="2">
                  <c:v>44.363</c:v>
                </c:pt>
                <c:pt idx="3">
                  <c:v>32.287999999999997</c:v>
                </c:pt>
                <c:pt idx="4">
                  <c:v>30.213000000000001</c:v>
                </c:pt>
                <c:pt idx="5">
                  <c:v>28.138000000000002</c:v>
                </c:pt>
                <c:pt idx="6">
                  <c:v>26.062999999999999</c:v>
                </c:pt>
                <c:pt idx="7">
                  <c:v>22.988</c:v>
                </c:pt>
                <c:pt idx="8">
                  <c:v>15.913</c:v>
                </c:pt>
                <c:pt idx="9">
                  <c:v>13.837999999999999</c:v>
                </c:pt>
                <c:pt idx="10">
                  <c:v>13.763</c:v>
                </c:pt>
                <c:pt idx="11">
                  <c:v>13.688000000000001</c:v>
                </c:pt>
                <c:pt idx="12">
                  <c:v>11.613</c:v>
                </c:pt>
                <c:pt idx="13">
                  <c:v>11.538</c:v>
                </c:pt>
                <c:pt idx="14">
                  <c:v>11.500500000000001</c:v>
                </c:pt>
                <c:pt idx="15">
                  <c:v>11.500500000000001</c:v>
                </c:pt>
                <c:pt idx="16">
                  <c:v>11.500500000000001</c:v>
                </c:pt>
                <c:pt idx="17">
                  <c:v>11.500500000000001</c:v>
                </c:pt>
                <c:pt idx="18">
                  <c:v>11.500500000000001</c:v>
                </c:pt>
                <c:pt idx="19">
                  <c:v>11.500500000000001</c:v>
                </c:pt>
                <c:pt idx="20">
                  <c:v>11.500500000000001</c:v>
                </c:pt>
                <c:pt idx="21">
                  <c:v>11.500500000000001</c:v>
                </c:pt>
                <c:pt idx="22">
                  <c:v>11.500500000000001</c:v>
                </c:pt>
                <c:pt idx="23">
                  <c:v>11.500500000000001</c:v>
                </c:pt>
                <c:pt idx="24">
                  <c:v>11.500500000000001</c:v>
                </c:pt>
                <c:pt idx="25">
                  <c:v>11.500500000000001</c:v>
                </c:pt>
                <c:pt idx="26">
                  <c:v>11.500500000000001</c:v>
                </c:pt>
                <c:pt idx="27">
                  <c:v>11.500500000000001</c:v>
                </c:pt>
                <c:pt idx="28">
                  <c:v>10.000500000000001</c:v>
                </c:pt>
                <c:pt idx="29">
                  <c:v>10.000500000000001</c:v>
                </c:pt>
                <c:pt idx="30">
                  <c:v>10.000500000000001</c:v>
                </c:pt>
                <c:pt idx="31">
                  <c:v>10.000500000000001</c:v>
                </c:pt>
                <c:pt idx="32">
                  <c:v>10.000500000000001</c:v>
                </c:pt>
                <c:pt idx="33">
                  <c:v>5.0000000000000001E-4</c:v>
                </c:pt>
                <c:pt idx="34">
                  <c:v>5.0000000000000001E-4</c:v>
                </c:pt>
                <c:pt idx="35">
                  <c:v>5.0000000000000001E-4</c:v>
                </c:pt>
                <c:pt idx="36">
                  <c:v>5.0000000000000001E-4</c:v>
                </c:pt>
                <c:pt idx="37">
                  <c:v>5.0000000000000001E-4</c:v>
                </c:pt>
                <c:pt idx="38">
                  <c:v>5.0000000000000001E-4</c:v>
                </c:pt>
                <c:pt idx="39">
                  <c:v>5.0000000000000001E-4</c:v>
                </c:pt>
                <c:pt idx="40">
                  <c:v>5.0000000000000001E-4</c:v>
                </c:pt>
                <c:pt idx="41">
                  <c:v>5.0000000000000001E-4</c:v>
                </c:pt>
                <c:pt idx="42">
                  <c:v>5.0000000000000001E-4</c:v>
                </c:pt>
                <c:pt idx="43">
                  <c:v>5.0000000000000001E-4</c:v>
                </c:pt>
                <c:pt idx="44">
                  <c:v>5.0000000000000001E-4</c:v>
                </c:pt>
                <c:pt idx="45">
                  <c:v>5.0000000000000001E-4</c:v>
                </c:pt>
                <c:pt idx="46">
                  <c:v>5.0000000000000001E-4</c:v>
                </c:pt>
                <c:pt idx="47">
                  <c:v>5.0000000000000001E-4</c:v>
                </c:pt>
                <c:pt idx="48">
                  <c:v>5.0000000000000001E-4</c:v>
                </c:pt>
                <c:pt idx="49">
                  <c:v>5.0000000000000001E-4</c:v>
                </c:pt>
              </c:numCache>
            </c:numRef>
          </c:val>
          <c:extLst>
            <c:ext xmlns:c16="http://schemas.microsoft.com/office/drawing/2014/chart" uri="{C3380CC4-5D6E-409C-BE32-E72D297353CC}">
              <c16:uniqueId val="{00000000-CE92-4111-8D58-11DB7022E568}"/>
            </c:ext>
          </c:extLst>
        </c:ser>
        <c:dLbls>
          <c:showLegendKey val="0"/>
          <c:showVal val="0"/>
          <c:showCatName val="0"/>
          <c:showSerName val="0"/>
          <c:showPercent val="0"/>
          <c:showBubbleSize val="0"/>
        </c:dLbls>
        <c:axId val="1186765808"/>
        <c:axId val="1186766768"/>
      </c:areaChart>
      <c:lineChart>
        <c:grouping val="standard"/>
        <c:varyColors val="0"/>
        <c:ser>
          <c:idx val="0"/>
          <c:order val="0"/>
          <c:tx>
            <c:strRef>
              <c:f>Sheet4!$A$2</c:f>
              <c:strCache>
                <c:ptCount val="1"/>
                <c:pt idx="0">
                  <c:v>Loans CFR</c:v>
                </c:pt>
              </c:strCache>
            </c:strRef>
          </c:tx>
          <c:spPr>
            <a:ln w="28575" cap="rnd">
              <a:solidFill>
                <a:schemeClr val="accent1"/>
              </a:solidFill>
              <a:round/>
            </a:ln>
            <a:effectLst/>
          </c:spPr>
          <c:marker>
            <c:symbol val="none"/>
          </c:marker>
          <c:cat>
            <c:numRef>
              <c:f>Sheet4!$B$1:$AZ$1</c:f>
              <c:numCache>
                <c:formatCode>General</c:formatCode>
                <c:ptCount val="51"/>
                <c:pt idx="0">
                  <c:v>2026</c:v>
                </c:pt>
                <c:pt idx="1">
                  <c:v>2027</c:v>
                </c:pt>
                <c:pt idx="2">
                  <c:v>2028</c:v>
                </c:pt>
                <c:pt idx="3">
                  <c:v>2029</c:v>
                </c:pt>
                <c:pt idx="4">
                  <c:v>2030</c:v>
                </c:pt>
                <c:pt idx="5">
                  <c:v>2031</c:v>
                </c:pt>
                <c:pt idx="6">
                  <c:v>2032</c:v>
                </c:pt>
                <c:pt idx="7">
                  <c:v>2033</c:v>
                </c:pt>
                <c:pt idx="8">
                  <c:v>2034</c:v>
                </c:pt>
                <c:pt idx="9">
                  <c:v>2035</c:v>
                </c:pt>
                <c:pt idx="10">
                  <c:v>2036</c:v>
                </c:pt>
                <c:pt idx="11">
                  <c:v>2037</c:v>
                </c:pt>
                <c:pt idx="12">
                  <c:v>2038</c:v>
                </c:pt>
                <c:pt idx="13">
                  <c:v>2039</c:v>
                </c:pt>
                <c:pt idx="14">
                  <c:v>2040</c:v>
                </c:pt>
                <c:pt idx="15">
                  <c:v>2041</c:v>
                </c:pt>
                <c:pt idx="16">
                  <c:v>2042</c:v>
                </c:pt>
                <c:pt idx="17">
                  <c:v>2043</c:v>
                </c:pt>
                <c:pt idx="18">
                  <c:v>2044</c:v>
                </c:pt>
                <c:pt idx="19">
                  <c:v>2045</c:v>
                </c:pt>
                <c:pt idx="20">
                  <c:v>2046</c:v>
                </c:pt>
                <c:pt idx="21">
                  <c:v>2047</c:v>
                </c:pt>
                <c:pt idx="22">
                  <c:v>2048</c:v>
                </c:pt>
                <c:pt idx="23">
                  <c:v>2049</c:v>
                </c:pt>
                <c:pt idx="24">
                  <c:v>2050</c:v>
                </c:pt>
                <c:pt idx="25">
                  <c:v>2051</c:v>
                </c:pt>
                <c:pt idx="26">
                  <c:v>2052</c:v>
                </c:pt>
                <c:pt idx="27">
                  <c:v>2053</c:v>
                </c:pt>
                <c:pt idx="28">
                  <c:v>2054</c:v>
                </c:pt>
                <c:pt idx="29">
                  <c:v>2055</c:v>
                </c:pt>
                <c:pt idx="30">
                  <c:v>2056</c:v>
                </c:pt>
                <c:pt idx="31">
                  <c:v>2057</c:v>
                </c:pt>
                <c:pt idx="32">
                  <c:v>2058</c:v>
                </c:pt>
                <c:pt idx="33">
                  <c:v>2059</c:v>
                </c:pt>
                <c:pt idx="34">
                  <c:v>2060</c:v>
                </c:pt>
                <c:pt idx="35">
                  <c:v>2061</c:v>
                </c:pt>
                <c:pt idx="36">
                  <c:v>2062</c:v>
                </c:pt>
                <c:pt idx="37">
                  <c:v>2063</c:v>
                </c:pt>
                <c:pt idx="38">
                  <c:v>2064</c:v>
                </c:pt>
                <c:pt idx="39">
                  <c:v>2065</c:v>
                </c:pt>
                <c:pt idx="40">
                  <c:v>2066</c:v>
                </c:pt>
                <c:pt idx="41">
                  <c:v>2067</c:v>
                </c:pt>
                <c:pt idx="42">
                  <c:v>2068</c:v>
                </c:pt>
                <c:pt idx="43">
                  <c:v>2069</c:v>
                </c:pt>
                <c:pt idx="44">
                  <c:v>2070</c:v>
                </c:pt>
                <c:pt idx="45">
                  <c:v>2071</c:v>
                </c:pt>
                <c:pt idx="46">
                  <c:v>2072</c:v>
                </c:pt>
                <c:pt idx="47">
                  <c:v>2073</c:v>
                </c:pt>
                <c:pt idx="48">
                  <c:v>2074</c:v>
                </c:pt>
                <c:pt idx="49">
                  <c:v>2075</c:v>
                </c:pt>
              </c:numCache>
            </c:numRef>
          </c:cat>
          <c:val>
            <c:numRef>
              <c:f>Sheet4!$B$2:$AZ$2</c:f>
              <c:numCache>
                <c:formatCode>General</c:formatCode>
                <c:ptCount val="51"/>
                <c:pt idx="0">
                  <c:v>122.05721679999999</c:v>
                </c:pt>
                <c:pt idx="1">
                  <c:v>176.04870675000001</c:v>
                </c:pt>
                <c:pt idx="2">
                  <c:v>224.49910315375001</c:v>
                </c:pt>
                <c:pt idx="3">
                  <c:v>270.05000467375004</c:v>
                </c:pt>
                <c:pt idx="4">
                  <c:v>311.17254739375005</c:v>
                </c:pt>
                <c:pt idx="5">
                  <c:v>341.12007111375004</c:v>
                </c:pt>
                <c:pt idx="6">
                  <c:v>331.55644483375005</c:v>
                </c:pt>
                <c:pt idx="7">
                  <c:v>321.99281855375</c:v>
                </c:pt>
                <c:pt idx="8">
                  <c:v>312.42919227374995</c:v>
                </c:pt>
                <c:pt idx="9">
                  <c:v>302.86556799375001</c:v>
                </c:pt>
                <c:pt idx="10">
                  <c:v>293.32815471375</c:v>
                </c:pt>
                <c:pt idx="11">
                  <c:v>283.79074143375004</c:v>
                </c:pt>
                <c:pt idx="12">
                  <c:v>274.25332815375003</c:v>
                </c:pt>
                <c:pt idx="13">
                  <c:v>264.71591487375008</c:v>
                </c:pt>
                <c:pt idx="14">
                  <c:v>255.17850159375007</c:v>
                </c:pt>
                <c:pt idx="15">
                  <c:v>245.64108831375006</c:v>
                </c:pt>
                <c:pt idx="16">
                  <c:v>236.10367403375005</c:v>
                </c:pt>
                <c:pt idx="17">
                  <c:v>226.56625975375005</c:v>
                </c:pt>
                <c:pt idx="18">
                  <c:v>217.02884547375007</c:v>
                </c:pt>
                <c:pt idx="19">
                  <c:v>207.49143119375006</c:v>
                </c:pt>
                <c:pt idx="20">
                  <c:v>197.96267891375004</c:v>
                </c:pt>
                <c:pt idx="21">
                  <c:v>188.43392663375002</c:v>
                </c:pt>
                <c:pt idx="22">
                  <c:v>178.90517435375003</c:v>
                </c:pt>
                <c:pt idx="23">
                  <c:v>169.38532207375002</c:v>
                </c:pt>
                <c:pt idx="24">
                  <c:v>159.95911726375002</c:v>
                </c:pt>
                <c:pt idx="25">
                  <c:v>150.61001075375</c:v>
                </c:pt>
                <c:pt idx="26">
                  <c:v>141.33044462375003</c:v>
                </c:pt>
                <c:pt idx="27">
                  <c:v>132.09004440375</c:v>
                </c:pt>
                <c:pt idx="28">
                  <c:v>122.87982112375001</c:v>
                </c:pt>
                <c:pt idx="29">
                  <c:v>113.66959784375</c:v>
                </c:pt>
                <c:pt idx="30">
                  <c:v>104.45939838375</c:v>
                </c:pt>
                <c:pt idx="31">
                  <c:v>95.24952392374999</c:v>
                </c:pt>
                <c:pt idx="32">
                  <c:v>86.669671793749998</c:v>
                </c:pt>
                <c:pt idx="33">
                  <c:v>78.167784663749984</c:v>
                </c:pt>
                <c:pt idx="34">
                  <c:v>70.305399533749991</c:v>
                </c:pt>
                <c:pt idx="35">
                  <c:v>62.45593440375</c:v>
                </c:pt>
                <c:pt idx="36">
                  <c:v>54.787968523749996</c:v>
                </c:pt>
                <c:pt idx="37">
                  <c:v>47.250944643749996</c:v>
                </c:pt>
                <c:pt idx="38">
                  <c:v>39.772358538749991</c:v>
                </c:pt>
                <c:pt idx="39">
                  <c:v>32.297438108749994</c:v>
                </c:pt>
                <c:pt idx="40">
                  <c:v>24.854612878749993</c:v>
                </c:pt>
                <c:pt idx="41">
                  <c:v>17.497587648749995</c:v>
                </c:pt>
                <c:pt idx="42">
                  <c:v>11.210655964999994</c:v>
                </c:pt>
                <c:pt idx="43">
                  <c:v>6.1642201649999953</c:v>
                </c:pt>
                <c:pt idx="44">
                  <c:v>2.6009701649999952</c:v>
                </c:pt>
                <c:pt idx="45">
                  <c:v>-3.5179835000004912E-2</c:v>
                </c:pt>
                <c:pt idx="46">
                  <c:v>-3.5179835000004912E-2</c:v>
                </c:pt>
                <c:pt idx="47">
                  <c:v>-3.5179835000004912E-2</c:v>
                </c:pt>
                <c:pt idx="48">
                  <c:v>-3.5179835000004912E-2</c:v>
                </c:pt>
                <c:pt idx="49">
                  <c:v>-3.5179835000004912E-2</c:v>
                </c:pt>
              </c:numCache>
            </c:numRef>
          </c:val>
          <c:smooth val="0"/>
          <c:extLst>
            <c:ext xmlns:c16="http://schemas.microsoft.com/office/drawing/2014/chart" uri="{C3380CC4-5D6E-409C-BE32-E72D297353CC}">
              <c16:uniqueId val="{00000001-CE92-4111-8D58-11DB7022E568}"/>
            </c:ext>
          </c:extLst>
        </c:ser>
        <c:ser>
          <c:idx val="1"/>
          <c:order val="1"/>
          <c:tx>
            <c:strRef>
              <c:f>Sheet4!$A$8</c:f>
              <c:strCache>
                <c:ptCount val="1"/>
                <c:pt idx="0">
                  <c:v>Net loans requirement</c:v>
                </c:pt>
              </c:strCache>
            </c:strRef>
          </c:tx>
          <c:spPr>
            <a:ln w="28575" cap="rnd">
              <a:solidFill>
                <a:schemeClr val="accent2"/>
              </a:solidFill>
              <a:prstDash val="dash"/>
              <a:round/>
            </a:ln>
            <a:effectLst/>
          </c:spPr>
          <c:marker>
            <c:symbol val="none"/>
          </c:marker>
          <c:cat>
            <c:numRef>
              <c:f>Sheet4!$B$1:$AZ$1</c:f>
              <c:numCache>
                <c:formatCode>General</c:formatCode>
                <c:ptCount val="51"/>
                <c:pt idx="0">
                  <c:v>2026</c:v>
                </c:pt>
                <c:pt idx="1">
                  <c:v>2027</c:v>
                </c:pt>
                <c:pt idx="2">
                  <c:v>2028</c:v>
                </c:pt>
                <c:pt idx="3">
                  <c:v>2029</c:v>
                </c:pt>
                <c:pt idx="4">
                  <c:v>2030</c:v>
                </c:pt>
                <c:pt idx="5">
                  <c:v>2031</c:v>
                </c:pt>
                <c:pt idx="6">
                  <c:v>2032</c:v>
                </c:pt>
                <c:pt idx="7">
                  <c:v>2033</c:v>
                </c:pt>
                <c:pt idx="8">
                  <c:v>2034</c:v>
                </c:pt>
                <c:pt idx="9">
                  <c:v>2035</c:v>
                </c:pt>
                <c:pt idx="10">
                  <c:v>2036</c:v>
                </c:pt>
                <c:pt idx="11">
                  <c:v>2037</c:v>
                </c:pt>
                <c:pt idx="12">
                  <c:v>2038</c:v>
                </c:pt>
                <c:pt idx="13">
                  <c:v>2039</c:v>
                </c:pt>
                <c:pt idx="14">
                  <c:v>2040</c:v>
                </c:pt>
                <c:pt idx="15">
                  <c:v>2041</c:v>
                </c:pt>
                <c:pt idx="16">
                  <c:v>2042</c:v>
                </c:pt>
                <c:pt idx="17">
                  <c:v>2043</c:v>
                </c:pt>
                <c:pt idx="18">
                  <c:v>2044</c:v>
                </c:pt>
                <c:pt idx="19">
                  <c:v>2045</c:v>
                </c:pt>
                <c:pt idx="20">
                  <c:v>2046</c:v>
                </c:pt>
                <c:pt idx="21">
                  <c:v>2047</c:v>
                </c:pt>
                <c:pt idx="22">
                  <c:v>2048</c:v>
                </c:pt>
                <c:pt idx="23">
                  <c:v>2049</c:v>
                </c:pt>
                <c:pt idx="24">
                  <c:v>2050</c:v>
                </c:pt>
                <c:pt idx="25">
                  <c:v>2051</c:v>
                </c:pt>
                <c:pt idx="26">
                  <c:v>2052</c:v>
                </c:pt>
                <c:pt idx="27">
                  <c:v>2053</c:v>
                </c:pt>
                <c:pt idx="28">
                  <c:v>2054</c:v>
                </c:pt>
                <c:pt idx="29">
                  <c:v>2055</c:v>
                </c:pt>
                <c:pt idx="30">
                  <c:v>2056</c:v>
                </c:pt>
                <c:pt idx="31">
                  <c:v>2057</c:v>
                </c:pt>
                <c:pt idx="32">
                  <c:v>2058</c:v>
                </c:pt>
                <c:pt idx="33">
                  <c:v>2059</c:v>
                </c:pt>
                <c:pt idx="34">
                  <c:v>2060</c:v>
                </c:pt>
                <c:pt idx="35">
                  <c:v>2061</c:v>
                </c:pt>
                <c:pt idx="36">
                  <c:v>2062</c:v>
                </c:pt>
                <c:pt idx="37">
                  <c:v>2063</c:v>
                </c:pt>
                <c:pt idx="38">
                  <c:v>2064</c:v>
                </c:pt>
                <c:pt idx="39">
                  <c:v>2065</c:v>
                </c:pt>
                <c:pt idx="40">
                  <c:v>2066</c:v>
                </c:pt>
                <c:pt idx="41">
                  <c:v>2067</c:v>
                </c:pt>
                <c:pt idx="42">
                  <c:v>2068</c:v>
                </c:pt>
                <c:pt idx="43">
                  <c:v>2069</c:v>
                </c:pt>
                <c:pt idx="44">
                  <c:v>2070</c:v>
                </c:pt>
                <c:pt idx="45">
                  <c:v>2071</c:v>
                </c:pt>
                <c:pt idx="46">
                  <c:v>2072</c:v>
                </c:pt>
                <c:pt idx="47">
                  <c:v>2073</c:v>
                </c:pt>
                <c:pt idx="48">
                  <c:v>2074</c:v>
                </c:pt>
                <c:pt idx="49">
                  <c:v>2075</c:v>
                </c:pt>
              </c:numCache>
            </c:numRef>
          </c:cat>
          <c:val>
            <c:numRef>
              <c:f>Sheet4!$B$8:$AZ$8</c:f>
              <c:numCache>
                <c:formatCode>General</c:formatCode>
                <c:ptCount val="51"/>
                <c:pt idx="0">
                  <c:v>122.6472168</c:v>
                </c:pt>
                <c:pt idx="1">
                  <c:v>178.15170675000002</c:v>
                </c:pt>
                <c:pt idx="2">
                  <c:v>224.61510315375003</c:v>
                </c:pt>
                <c:pt idx="3">
                  <c:v>271.37900467375005</c:v>
                </c:pt>
                <c:pt idx="4">
                  <c:v>312.12447239375007</c:v>
                </c:pt>
                <c:pt idx="5">
                  <c:v>341.68549423875004</c:v>
                </c:pt>
                <c:pt idx="6">
                  <c:v>331.72570353687507</c:v>
                </c:pt>
                <c:pt idx="7">
                  <c:v>321.75600872445312</c:v>
                </c:pt>
                <c:pt idx="8">
                  <c:v>311.77616219872067</c:v>
                </c:pt>
                <c:pt idx="9">
                  <c:v>301.78591216684498</c:v>
                </c:pt>
                <c:pt idx="10">
                  <c:v>291.81120749117235</c:v>
                </c:pt>
                <c:pt idx="11">
                  <c:v>281.82557053060793</c:v>
                </c:pt>
                <c:pt idx="12">
                  <c:v>271.82872797802941</c:v>
                </c:pt>
                <c:pt idx="13">
                  <c:v>261.82039969363638</c:v>
                </c:pt>
                <c:pt idx="14">
                  <c:v>251.80029853413356</c:v>
                </c:pt>
                <c:pt idx="15">
                  <c:v>241.76813017764314</c:v>
                </c:pt>
                <c:pt idx="16">
                  <c:v>231.72359194424047</c:v>
                </c:pt>
                <c:pt idx="17">
                  <c:v>221.66637561200272</c:v>
                </c:pt>
                <c:pt idx="18">
                  <c:v>211.59616422845906</c:v>
                </c:pt>
                <c:pt idx="19">
                  <c:v>201.51263291732678</c:v>
                </c:pt>
                <c:pt idx="20">
                  <c:v>191.42411068041616</c:v>
                </c:pt>
                <c:pt idx="21">
                  <c:v>181.32159419458281</c:v>
                </c:pt>
                <c:pt idx="22">
                  <c:v>171.20473360360364</c:v>
                </c:pt>
                <c:pt idx="23">
                  <c:v>161.08207030484996</c:v>
                </c:pt>
                <c:pt idx="24">
                  <c:v>151.03798420062745</c:v>
                </c:pt>
                <c:pt idx="25">
                  <c:v>141.05554936404937</c:v>
                </c:pt>
                <c:pt idx="26">
                  <c:v>131.1268216993069</c:v>
                </c:pt>
                <c:pt idx="27">
                  <c:v>121.22103090619578</c:v>
                </c:pt>
                <c:pt idx="28">
                  <c:v>111.32878228875693</c:v>
                </c:pt>
                <c:pt idx="29">
                  <c:v>101.4194830378821</c:v>
                </c:pt>
                <c:pt idx="30">
                  <c:v>91.492730707735404</c:v>
                </c:pt>
                <c:pt idx="31">
                  <c:v>81.54838955583503</c:v>
                </c:pt>
                <c:pt idx="32">
                  <c:v>72.21570906663716</c:v>
                </c:pt>
                <c:pt idx="33">
                  <c:v>62.942172868459323</c:v>
                </c:pt>
                <c:pt idx="34">
                  <c:v>54.288847443577069</c:v>
                </c:pt>
                <c:pt idx="35">
                  <c:v>45.628668511322758</c:v>
                </c:pt>
                <c:pt idx="36">
                  <c:v>37.129720984012067</c:v>
                </c:pt>
                <c:pt idx="37">
                  <c:v>28.74094091551861</c:v>
                </c:pt>
                <c:pt idx="38">
                  <c:v>20.389304717312818</c:v>
                </c:pt>
                <c:pt idx="39">
                  <c:v>12.019507941776892</c:v>
                </c:pt>
                <c:pt idx="40">
                  <c:v>3.6594344576025661</c:v>
                </c:pt>
                <c:pt idx="41">
                  <c:v>-4.6377702329261217</c:v>
                </c:pt>
                <c:pt idx="42">
                  <c:v>-11.888385863718032</c:v>
                </c:pt>
                <c:pt idx="43">
                  <c:v>-17.922597709435987</c:v>
                </c:pt>
                <c:pt idx="44">
                  <c:v>-22.498318156296889</c:v>
                </c:pt>
                <c:pt idx="45">
                  <c:v>-26.172250364329312</c:v>
                </c:pt>
                <c:pt idx="46">
                  <c:v>-27.235977127562546</c:v>
                </c:pt>
                <c:pt idx="47">
                  <c:v>-28.326297059876609</c:v>
                </c:pt>
                <c:pt idx="48">
                  <c:v>-29.443874990498529</c:v>
                </c:pt>
                <c:pt idx="49">
                  <c:v>-30.589392369385994</c:v>
                </c:pt>
              </c:numCache>
            </c:numRef>
          </c:val>
          <c:smooth val="0"/>
          <c:extLst>
            <c:ext xmlns:c16="http://schemas.microsoft.com/office/drawing/2014/chart" uri="{C3380CC4-5D6E-409C-BE32-E72D297353CC}">
              <c16:uniqueId val="{00000002-CE92-4111-8D58-11DB7022E568}"/>
            </c:ext>
          </c:extLst>
        </c:ser>
        <c:ser>
          <c:idx val="2"/>
          <c:order val="2"/>
          <c:tx>
            <c:strRef>
              <c:f>Sheet4!$A$10</c:f>
              <c:strCache>
                <c:ptCount val="1"/>
                <c:pt idx="0">
                  <c:v>Liability benchmark</c:v>
                </c:pt>
              </c:strCache>
            </c:strRef>
          </c:tx>
          <c:spPr>
            <a:ln w="28575" cap="rnd">
              <a:solidFill>
                <a:schemeClr val="accent3"/>
              </a:solidFill>
              <a:round/>
            </a:ln>
            <a:effectLst/>
          </c:spPr>
          <c:marker>
            <c:symbol val="none"/>
          </c:marker>
          <c:cat>
            <c:numRef>
              <c:f>Sheet4!$B$1:$AZ$1</c:f>
              <c:numCache>
                <c:formatCode>General</c:formatCode>
                <c:ptCount val="51"/>
                <c:pt idx="0">
                  <c:v>2026</c:v>
                </c:pt>
                <c:pt idx="1">
                  <c:v>2027</c:v>
                </c:pt>
                <c:pt idx="2">
                  <c:v>2028</c:v>
                </c:pt>
                <c:pt idx="3">
                  <c:v>2029</c:v>
                </c:pt>
                <c:pt idx="4">
                  <c:v>2030</c:v>
                </c:pt>
                <c:pt idx="5">
                  <c:v>2031</c:v>
                </c:pt>
                <c:pt idx="6">
                  <c:v>2032</c:v>
                </c:pt>
                <c:pt idx="7">
                  <c:v>2033</c:v>
                </c:pt>
                <c:pt idx="8">
                  <c:v>2034</c:v>
                </c:pt>
                <c:pt idx="9">
                  <c:v>2035</c:v>
                </c:pt>
                <c:pt idx="10">
                  <c:v>2036</c:v>
                </c:pt>
                <c:pt idx="11">
                  <c:v>2037</c:v>
                </c:pt>
                <c:pt idx="12">
                  <c:v>2038</c:v>
                </c:pt>
                <c:pt idx="13">
                  <c:v>2039</c:v>
                </c:pt>
                <c:pt idx="14">
                  <c:v>2040</c:v>
                </c:pt>
                <c:pt idx="15">
                  <c:v>2041</c:v>
                </c:pt>
                <c:pt idx="16">
                  <c:v>2042</c:v>
                </c:pt>
                <c:pt idx="17">
                  <c:v>2043</c:v>
                </c:pt>
                <c:pt idx="18">
                  <c:v>2044</c:v>
                </c:pt>
                <c:pt idx="19">
                  <c:v>2045</c:v>
                </c:pt>
                <c:pt idx="20">
                  <c:v>2046</c:v>
                </c:pt>
                <c:pt idx="21">
                  <c:v>2047</c:v>
                </c:pt>
                <c:pt idx="22">
                  <c:v>2048</c:v>
                </c:pt>
                <c:pt idx="23">
                  <c:v>2049</c:v>
                </c:pt>
                <c:pt idx="24">
                  <c:v>2050</c:v>
                </c:pt>
                <c:pt idx="25">
                  <c:v>2051</c:v>
                </c:pt>
                <c:pt idx="26">
                  <c:v>2052</c:v>
                </c:pt>
                <c:pt idx="27">
                  <c:v>2053</c:v>
                </c:pt>
                <c:pt idx="28">
                  <c:v>2054</c:v>
                </c:pt>
                <c:pt idx="29">
                  <c:v>2055</c:v>
                </c:pt>
                <c:pt idx="30">
                  <c:v>2056</c:v>
                </c:pt>
                <c:pt idx="31">
                  <c:v>2057</c:v>
                </c:pt>
                <c:pt idx="32">
                  <c:v>2058</c:v>
                </c:pt>
                <c:pt idx="33">
                  <c:v>2059</c:v>
                </c:pt>
                <c:pt idx="34">
                  <c:v>2060</c:v>
                </c:pt>
                <c:pt idx="35">
                  <c:v>2061</c:v>
                </c:pt>
                <c:pt idx="36">
                  <c:v>2062</c:v>
                </c:pt>
                <c:pt idx="37">
                  <c:v>2063</c:v>
                </c:pt>
                <c:pt idx="38">
                  <c:v>2064</c:v>
                </c:pt>
                <c:pt idx="39">
                  <c:v>2065</c:v>
                </c:pt>
                <c:pt idx="40">
                  <c:v>2066</c:v>
                </c:pt>
                <c:pt idx="41">
                  <c:v>2067</c:v>
                </c:pt>
                <c:pt idx="42">
                  <c:v>2068</c:v>
                </c:pt>
                <c:pt idx="43">
                  <c:v>2069</c:v>
                </c:pt>
                <c:pt idx="44">
                  <c:v>2070</c:v>
                </c:pt>
                <c:pt idx="45">
                  <c:v>2071</c:v>
                </c:pt>
                <c:pt idx="46">
                  <c:v>2072</c:v>
                </c:pt>
                <c:pt idx="47">
                  <c:v>2073</c:v>
                </c:pt>
                <c:pt idx="48">
                  <c:v>2074</c:v>
                </c:pt>
                <c:pt idx="49">
                  <c:v>2075</c:v>
                </c:pt>
              </c:numCache>
            </c:numRef>
          </c:cat>
          <c:val>
            <c:numRef>
              <c:f>Sheet4!$B$10:$AZ$10</c:f>
              <c:numCache>
                <c:formatCode>General</c:formatCode>
                <c:ptCount val="51"/>
                <c:pt idx="0">
                  <c:v>132.6472168</c:v>
                </c:pt>
                <c:pt idx="1">
                  <c:v>188.15170675000002</c:v>
                </c:pt>
                <c:pt idx="2">
                  <c:v>234.61510315375003</c:v>
                </c:pt>
                <c:pt idx="3">
                  <c:v>281.37900467375005</c:v>
                </c:pt>
                <c:pt idx="4">
                  <c:v>322.37447239375007</c:v>
                </c:pt>
                <c:pt idx="5">
                  <c:v>352.19174423875006</c:v>
                </c:pt>
                <c:pt idx="6">
                  <c:v>342.49460978687506</c:v>
                </c:pt>
                <c:pt idx="7">
                  <c:v>332.79413763070312</c:v>
                </c:pt>
                <c:pt idx="8">
                  <c:v>323.09024432762692</c:v>
                </c:pt>
                <c:pt idx="9">
                  <c:v>313.38284634897389</c:v>
                </c:pt>
                <c:pt idx="10">
                  <c:v>303.69806502785445</c:v>
                </c:pt>
                <c:pt idx="11">
                  <c:v>294.00959950570711</c:v>
                </c:pt>
                <c:pt idx="12">
                  <c:v>284.31735767750604</c:v>
                </c:pt>
                <c:pt idx="13">
                  <c:v>274.62124513559996</c:v>
                </c:pt>
                <c:pt idx="14">
                  <c:v>264.92116511214624</c:v>
                </c:pt>
                <c:pt idx="15">
                  <c:v>255.21701842010611</c:v>
                </c:pt>
                <c:pt idx="16">
                  <c:v>245.50870239276503</c:v>
                </c:pt>
                <c:pt idx="17">
                  <c:v>235.79611382174039</c:v>
                </c:pt>
                <c:pt idx="18">
                  <c:v>226.07914589344017</c:v>
                </c:pt>
                <c:pt idx="19">
                  <c:v>216.35768912393243</c:v>
                </c:pt>
                <c:pt idx="20">
                  <c:v>206.64029329218695</c:v>
                </c:pt>
                <c:pt idx="21">
                  <c:v>196.91818137164788</c:v>
                </c:pt>
                <c:pt idx="22">
                  <c:v>187.19123546009533</c:v>
                </c:pt>
                <c:pt idx="23">
                  <c:v>177.46823470775394</c:v>
                </c:pt>
                <c:pt idx="24">
                  <c:v>167.83380271360403</c:v>
                </c:pt>
                <c:pt idx="25">
                  <c:v>158.27126333985035</c:v>
                </c:pt>
                <c:pt idx="26">
                  <c:v>148.7729285245029</c:v>
                </c:pt>
                <c:pt idx="27">
                  <c:v>139.3082904020217</c:v>
                </c:pt>
                <c:pt idx="28">
                  <c:v>129.86822327197848</c:v>
                </c:pt>
                <c:pt idx="29">
                  <c:v>120.4224100456842</c:v>
                </c:pt>
                <c:pt idx="30">
                  <c:v>110.97073089073255</c:v>
                </c:pt>
                <c:pt idx="31">
                  <c:v>101.51333974340712</c:v>
                </c:pt>
                <c:pt idx="32">
                  <c:v>92.679783008898539</c:v>
                </c:pt>
                <c:pt idx="33">
                  <c:v>83.91784865927724</c:v>
                </c:pt>
                <c:pt idx="34">
                  <c:v>75.788915129165446</c:v>
                </c:pt>
                <c:pt idx="35">
                  <c:v>67.666237889050834</c:v>
                </c:pt>
                <c:pt idx="36">
                  <c:v>59.718229596183349</c:v>
                </c:pt>
                <c:pt idx="37">
                  <c:v>51.89416224299417</c:v>
                </c:pt>
                <c:pt idx="38">
                  <c:v>44.121356577975277</c:v>
                </c:pt>
                <c:pt idx="39">
                  <c:v>36.34486109895591</c:v>
                </c:pt>
                <c:pt idx="40">
                  <c:v>28.592921443711056</c:v>
                </c:pt>
                <c:pt idx="41">
                  <c:v>20.91905392783508</c:v>
                </c:pt>
                <c:pt idx="42">
                  <c:v>14.307358901062202</c:v>
                </c:pt>
                <c:pt idx="43">
                  <c:v>8.9280406744637517</c:v>
                </c:pt>
                <c:pt idx="44">
                  <c:v>5.023586187200344</c:v>
                </c:pt>
                <c:pt idx="45">
                  <c:v>2.0377015877553539</c:v>
                </c:pt>
                <c:pt idx="46">
                  <c:v>1.679223623324237</c:v>
                </c:pt>
                <c:pt idx="47">
                  <c:v>1.3117837097823433</c:v>
                </c:pt>
                <c:pt idx="48">
                  <c:v>0.93515779840189595</c:v>
                </c:pt>
                <c:pt idx="49">
                  <c:v>0.54911623923694108</c:v>
                </c:pt>
              </c:numCache>
            </c:numRef>
          </c:val>
          <c:smooth val="0"/>
          <c:extLst>
            <c:ext xmlns:c16="http://schemas.microsoft.com/office/drawing/2014/chart" uri="{C3380CC4-5D6E-409C-BE32-E72D297353CC}">
              <c16:uniqueId val="{00000003-CE92-4111-8D58-11DB7022E568}"/>
            </c:ext>
          </c:extLst>
        </c:ser>
        <c:dLbls>
          <c:showLegendKey val="0"/>
          <c:showVal val="0"/>
          <c:showCatName val="0"/>
          <c:showSerName val="0"/>
          <c:showPercent val="0"/>
          <c:showBubbleSize val="0"/>
        </c:dLbls>
        <c:marker val="1"/>
        <c:smooth val="0"/>
        <c:axId val="1186765808"/>
        <c:axId val="1186766768"/>
      </c:lineChart>
      <c:catAx>
        <c:axId val="1186765808"/>
        <c:scaling>
          <c:orientation val="minMax"/>
        </c:scaling>
        <c:delete val="0"/>
        <c:axPos val="b"/>
        <c:numFmt formatCode="General" sourceLinked="1"/>
        <c:majorTickMark val="out"/>
        <c:minorTickMark val="out"/>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6766768"/>
        <c:crosses val="autoZero"/>
        <c:auto val="1"/>
        <c:lblAlgn val="ctr"/>
        <c:lblOffset val="100"/>
        <c:tickLblSkip val="2"/>
        <c:tickMarkSkip val="1"/>
        <c:noMultiLvlLbl val="0"/>
      </c:catAx>
      <c:valAx>
        <c:axId val="1186766768"/>
        <c:scaling>
          <c:orientation val="minMax"/>
          <c:max val="36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86765808"/>
        <c:crosses val="autoZero"/>
        <c:crossBetween val="between"/>
        <c:majorUnit val="4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427527055ECF409FF7E56BB6C153DE" ma:contentTypeVersion="7" ma:contentTypeDescription="Create a new document." ma:contentTypeScope="" ma:versionID="2058fbb5c23f67052a7b55c53eb600e8">
  <xsd:schema xmlns:xsd="http://www.w3.org/2001/XMLSchema" xmlns:xs="http://www.w3.org/2001/XMLSchema" xmlns:p="http://schemas.microsoft.com/office/2006/metadata/properties" xmlns:ns2="fafc71dd-b7c3-49fc-a8cb-d0c1482d6ab9" xmlns:ns3="e622912a-8156-44a4-9926-b8f0230e4659" targetNamespace="http://schemas.microsoft.com/office/2006/metadata/properties" ma:root="true" ma:fieldsID="172b01b3eae6792e2431eeb9252350b9" ns2:_="" ns3:_="">
    <xsd:import namespace="fafc71dd-b7c3-49fc-a8cb-d0c1482d6ab9"/>
    <xsd:import namespace="e622912a-8156-44a4-9926-b8f0230e46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c71dd-b7c3-49fc-a8cb-d0c1482d6ab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22912a-8156-44a4-9926-b8f0230e465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23AE9-0AA0-4F27-AA0D-1142F849C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c71dd-b7c3-49fc-a8cb-d0c1482d6ab9"/>
    <ds:schemaRef ds:uri="e622912a-8156-44a4-9926-b8f0230e4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899769-C85A-4293-8C04-A659ED53A95F}">
  <ds:schemaRefs>
    <ds:schemaRef ds:uri="http://schemas.microsoft.com/sharepoint/v3/contenttype/forms"/>
  </ds:schemaRefs>
</ds:datastoreItem>
</file>

<file path=customXml/itemProps3.xml><?xml version="1.0" encoding="utf-8"?>
<ds:datastoreItem xmlns:ds="http://schemas.openxmlformats.org/officeDocument/2006/customXml" ds:itemID="{E3186817-9B75-46F3-8EFE-F14E5B8000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14E935-23FC-439D-9014-20EA308B8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4237</Words>
  <Characters>24153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Horsfield</dc:creator>
  <cp:keywords/>
  <cp:lastModifiedBy>Alston, Luke</cp:lastModifiedBy>
  <cp:revision>2</cp:revision>
  <cp:lastPrinted>2018-10-17T10:14:00Z</cp:lastPrinted>
  <dcterms:created xsi:type="dcterms:W3CDTF">2026-04-16T13:03:00Z</dcterms:created>
  <dcterms:modified xsi:type="dcterms:W3CDTF">2026-04-16T13:03:00Z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0x01010013427527055ECF409FF7E56BB6C153DE</vt:lpwstr>
  </property>
  <property fmtid="{D5CDD505-2E9C-101B-9397-08002B2CF9AE}" pid="3" name="Order">
    <vt:r8>7079200</vt:r8>
  </property>
  <property fmtid="{D5CDD505-2E9C-101B-9397-08002B2CF9AE}" pid="4" name="MediaServiceImageTags">
    <vt:lpwstr/>
  </property>
  <property fmtid="{D5CDD505-2E9C-101B-9397-08002B2CF9AE}" pid="5" name="MSIP_Label_f199e5ce-74b9-4f55-9a70-2eed142e80cb_Enabled">
    <vt:lpwstr>true</vt:lpwstr>
  </property>
  <property fmtid="{D5CDD505-2E9C-101B-9397-08002B2CF9AE}" pid="6" name="MSIP_Label_f199e5ce-74b9-4f55-9a70-2eed142e80cb_SetDate">
    <vt:lpwstr>2024-11-27T17:15:54Z</vt:lpwstr>
  </property>
  <property fmtid="{D5CDD505-2E9C-101B-9397-08002B2CF9AE}" pid="7" name="MSIP_Label_f199e5ce-74b9-4f55-9a70-2eed142e80cb_Method">
    <vt:lpwstr>Standard</vt:lpwstr>
  </property>
  <property fmtid="{D5CDD505-2E9C-101B-9397-08002B2CF9AE}" pid="8" name="MSIP_Label_f199e5ce-74b9-4f55-9a70-2eed142e80cb_Name">
    <vt:lpwstr>OFFICIA</vt:lpwstr>
  </property>
  <property fmtid="{D5CDD505-2E9C-101B-9397-08002B2CF9AE}" pid="9" name="MSIP_Label_f199e5ce-74b9-4f55-9a70-2eed142e80cb_SiteId">
    <vt:lpwstr>5c524f10-3c77-423d-8c82-842fc2a22afb</vt:lpwstr>
  </property>
  <property fmtid="{D5CDD505-2E9C-101B-9397-08002B2CF9AE}" pid="10" name="MSIP_Label_f199e5ce-74b9-4f55-9a70-2eed142e80cb_ActionId">
    <vt:lpwstr>8146488d-2b93-49e6-8d57-06a4fc6f0e58</vt:lpwstr>
  </property>
  <property fmtid="{D5CDD505-2E9C-101B-9397-08002B2CF9AE}" pid="11" name="MSIP_Label_f199e5ce-74b9-4f55-9a70-2eed142e80cb_ContentBits">
    <vt:lpwstr>0</vt:lpwstr>
  </property>
</Properties>
</file>