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A03D" w14:textId="77777777" w:rsidR="00A2586E" w:rsidRPr="00A2586E" w:rsidRDefault="00A2586E" w:rsidP="00A2586E">
      <w:pPr>
        <w:spacing w:before="270" w:after="120" w:line="240" w:lineRule="auto"/>
        <w:rPr>
          <w:rFonts w:ascii="Arial" w:eastAsia="Times New Roman" w:hAnsi="Arial" w:cs="Arial"/>
          <w:b/>
          <w:lang w:eastAsia="en-GB"/>
        </w:rPr>
      </w:pPr>
    </w:p>
    <w:p w14:paraId="6AA21AA0" w14:textId="77777777" w:rsidR="00A2586E" w:rsidRPr="00A2586E" w:rsidRDefault="00A2586E" w:rsidP="00A2586E">
      <w:pPr>
        <w:spacing w:after="0" w:line="240" w:lineRule="auto"/>
        <w:jc w:val="center"/>
        <w:rPr>
          <w:rFonts w:ascii="Calibri" w:eastAsia="Calibri" w:hAnsi="Calibri" w:cs="Arial"/>
          <w:b/>
        </w:rPr>
      </w:pPr>
      <w:r w:rsidRPr="00A2586E">
        <w:rPr>
          <w:rFonts w:ascii="Times New Roman" w:eastAsia="Calibri" w:hAnsi="Times New Roman" w:cs="Times New Roman"/>
          <w:noProof/>
          <w:szCs w:val="24"/>
        </w:rPr>
        <w:drawing>
          <wp:inline distT="0" distB="0" distL="0" distR="0" wp14:anchorId="6EC01DBC" wp14:editId="5B41A769">
            <wp:extent cx="2978150" cy="2953937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84" cy="295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pPr w:leftFromText="180" w:rightFromText="180" w:vertAnchor="text" w:horzAnchor="margin" w:tblpY="1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2586E" w:rsidRPr="00A2586E" w14:paraId="3EE37DCB" w14:textId="77777777" w:rsidTr="00A2586E">
        <w:tc>
          <w:tcPr>
            <w:tcW w:w="10457" w:type="dxa"/>
            <w:shd w:val="clear" w:color="auto" w:fill="D9E2F3"/>
            <w:vAlign w:val="center"/>
          </w:tcPr>
          <w:p w14:paraId="67E45D7D" w14:textId="77777777" w:rsidR="00A2586E" w:rsidRPr="00A2586E" w:rsidRDefault="00A2586E" w:rsidP="00A2586E">
            <w:pPr>
              <w:spacing w:before="270" w:after="18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2586E">
              <w:rPr>
                <w:rFonts w:ascii="Arial" w:hAnsi="Arial" w:cs="Arial"/>
                <w:b/>
                <w:sz w:val="40"/>
                <w:szCs w:val="40"/>
              </w:rPr>
              <w:t>Police and Crime Commissioner for Lancashire</w:t>
            </w:r>
          </w:p>
        </w:tc>
      </w:tr>
      <w:tr w:rsidR="00A2586E" w:rsidRPr="00A2586E" w14:paraId="7E7AF117" w14:textId="77777777" w:rsidTr="00A2586E">
        <w:tc>
          <w:tcPr>
            <w:tcW w:w="10457" w:type="dxa"/>
            <w:shd w:val="clear" w:color="auto" w:fill="B4C6E7"/>
            <w:vAlign w:val="center"/>
          </w:tcPr>
          <w:p w14:paraId="385DB87A" w14:textId="50B62D10" w:rsidR="00A2586E" w:rsidRPr="00A2586E" w:rsidRDefault="00A2586E" w:rsidP="00A2586E">
            <w:pPr>
              <w:spacing w:before="270" w:after="180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Capital</w:t>
            </w:r>
            <w:r w:rsidRPr="00A2586E">
              <w:rPr>
                <w:rFonts w:ascii="Arial" w:hAnsi="Arial" w:cs="Arial"/>
                <w:b/>
                <w:sz w:val="72"/>
                <w:szCs w:val="72"/>
              </w:rPr>
              <w:t xml:space="preserve"> Strategy</w:t>
            </w:r>
          </w:p>
        </w:tc>
      </w:tr>
      <w:tr w:rsidR="00A2586E" w:rsidRPr="00A2586E" w14:paraId="41622F5F" w14:textId="77777777" w:rsidTr="00A2586E">
        <w:tc>
          <w:tcPr>
            <w:tcW w:w="10457" w:type="dxa"/>
            <w:shd w:val="clear" w:color="auto" w:fill="B4C6E7"/>
            <w:vAlign w:val="center"/>
          </w:tcPr>
          <w:p w14:paraId="4D7FF837" w14:textId="5579B8BB" w:rsidR="00A2586E" w:rsidRPr="00A2586E" w:rsidRDefault="00A2586E" w:rsidP="00A2586E">
            <w:pPr>
              <w:spacing w:before="270" w:after="180"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A2586E">
              <w:rPr>
                <w:rFonts w:ascii="Arial" w:hAnsi="Arial" w:cs="Arial"/>
                <w:b/>
                <w:sz w:val="72"/>
                <w:szCs w:val="72"/>
              </w:rPr>
              <w:t>202</w:t>
            </w:r>
            <w:r w:rsidR="004B5DFB">
              <w:rPr>
                <w:rFonts w:ascii="Arial" w:hAnsi="Arial" w:cs="Arial"/>
                <w:b/>
                <w:sz w:val="72"/>
                <w:szCs w:val="72"/>
              </w:rPr>
              <w:t>6/27</w:t>
            </w:r>
          </w:p>
        </w:tc>
      </w:tr>
    </w:tbl>
    <w:p w14:paraId="2FA5B4B6" w14:textId="77777777" w:rsidR="00A2586E" w:rsidRDefault="00A2586E">
      <w:pPr>
        <w:rPr>
          <w:rFonts w:ascii="Trebuchet MS" w:hAnsi="Trebuchet MS"/>
          <w:b/>
          <w:bCs/>
          <w:sz w:val="28"/>
          <w:szCs w:val="20"/>
        </w:rPr>
      </w:pPr>
      <w:r>
        <w:rPr>
          <w:rFonts w:ascii="Trebuchet MS" w:hAnsi="Trebuchet MS"/>
          <w:b/>
          <w:bCs/>
          <w:sz w:val="28"/>
          <w:szCs w:val="20"/>
        </w:rPr>
        <w:br w:type="page"/>
      </w:r>
    </w:p>
    <w:p w14:paraId="3171B3B3" w14:textId="5EA7F356" w:rsidR="00E42152" w:rsidRPr="0027436A" w:rsidRDefault="00E42152" w:rsidP="000401F1">
      <w:pPr>
        <w:spacing w:after="200" w:line="276" w:lineRule="auto"/>
        <w:jc w:val="center"/>
        <w:rPr>
          <w:rFonts w:ascii="Trebuchet MS" w:hAnsi="Trebuchet MS"/>
          <w:b/>
          <w:bCs/>
          <w:sz w:val="28"/>
          <w:szCs w:val="20"/>
        </w:rPr>
      </w:pPr>
      <w:r w:rsidRPr="0027436A">
        <w:rPr>
          <w:rFonts w:ascii="Trebuchet MS" w:hAnsi="Trebuchet MS"/>
          <w:b/>
          <w:bCs/>
          <w:sz w:val="28"/>
          <w:szCs w:val="20"/>
        </w:rPr>
        <w:lastRenderedPageBreak/>
        <w:t xml:space="preserve">Capital Strategy Report </w:t>
      </w:r>
      <w:r w:rsidR="00792A82" w:rsidRPr="0027436A">
        <w:rPr>
          <w:rFonts w:ascii="Trebuchet MS" w:hAnsi="Trebuchet MS"/>
          <w:b/>
          <w:bCs/>
          <w:sz w:val="28"/>
          <w:szCs w:val="20"/>
        </w:rPr>
        <w:t>202</w:t>
      </w:r>
      <w:r w:rsidR="004B5DFB">
        <w:rPr>
          <w:rFonts w:ascii="Trebuchet MS" w:hAnsi="Trebuchet MS"/>
          <w:b/>
          <w:bCs/>
          <w:sz w:val="28"/>
          <w:szCs w:val="20"/>
        </w:rPr>
        <w:t>6/27</w:t>
      </w:r>
    </w:p>
    <w:p w14:paraId="5AE56F12" w14:textId="2EE2DAA9" w:rsidR="00E42152" w:rsidRPr="00E42152" w:rsidRDefault="00E42152" w:rsidP="00753FF6">
      <w:pPr>
        <w:pStyle w:val="ListParagraph"/>
        <w:spacing w:before="400" w:after="200" w:line="276" w:lineRule="auto"/>
        <w:ind w:left="0"/>
        <w:contextualSpacing w:val="0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E42152">
        <w:rPr>
          <w:rFonts w:ascii="Trebuchet MS" w:hAnsi="Trebuchet MS"/>
          <w:b/>
          <w:sz w:val="20"/>
          <w:szCs w:val="20"/>
          <w:u w:val="single"/>
        </w:rPr>
        <w:t>Introduction</w:t>
      </w:r>
    </w:p>
    <w:p w14:paraId="2F5AAD17" w14:textId="2102136A" w:rsidR="00E42152" w:rsidRDefault="00736DD3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E42152">
        <w:rPr>
          <w:rFonts w:ascii="Trebuchet MS" w:hAnsi="Trebuchet MS"/>
          <w:sz w:val="20"/>
          <w:szCs w:val="20"/>
        </w:rPr>
        <w:t>Th</w:t>
      </w:r>
      <w:r w:rsidR="000B3297">
        <w:rPr>
          <w:rFonts w:ascii="Trebuchet MS" w:hAnsi="Trebuchet MS"/>
          <w:sz w:val="20"/>
          <w:szCs w:val="20"/>
        </w:rPr>
        <w:t>is</w:t>
      </w:r>
      <w:r w:rsidRPr="00E42152">
        <w:rPr>
          <w:rFonts w:ascii="Trebuchet MS" w:hAnsi="Trebuchet MS"/>
          <w:sz w:val="20"/>
          <w:szCs w:val="20"/>
        </w:rPr>
        <w:t xml:space="preserve"> </w:t>
      </w:r>
      <w:r w:rsidR="0038744F">
        <w:rPr>
          <w:rFonts w:ascii="Trebuchet MS" w:hAnsi="Trebuchet MS"/>
          <w:sz w:val="20"/>
          <w:szCs w:val="20"/>
        </w:rPr>
        <w:t>capital strategy</w:t>
      </w:r>
      <w:r w:rsidR="000B3297">
        <w:rPr>
          <w:rFonts w:ascii="Trebuchet MS" w:hAnsi="Trebuchet MS"/>
          <w:sz w:val="20"/>
          <w:szCs w:val="20"/>
        </w:rPr>
        <w:t xml:space="preserve"> report</w:t>
      </w:r>
      <w:r w:rsidR="0038744F">
        <w:rPr>
          <w:rFonts w:ascii="Trebuchet MS" w:hAnsi="Trebuchet MS"/>
          <w:sz w:val="20"/>
          <w:szCs w:val="20"/>
        </w:rPr>
        <w:t xml:space="preserve"> </w:t>
      </w:r>
      <w:r w:rsidRPr="00E42152">
        <w:rPr>
          <w:rFonts w:ascii="Trebuchet MS" w:hAnsi="Trebuchet MS"/>
          <w:sz w:val="20"/>
          <w:szCs w:val="20"/>
        </w:rPr>
        <w:t>giv</w:t>
      </w:r>
      <w:r w:rsidR="00753FF6">
        <w:rPr>
          <w:rFonts w:ascii="Trebuchet MS" w:hAnsi="Trebuchet MS"/>
          <w:sz w:val="20"/>
          <w:szCs w:val="20"/>
        </w:rPr>
        <w:t>es</w:t>
      </w:r>
      <w:r w:rsidRPr="00E42152">
        <w:rPr>
          <w:rFonts w:ascii="Trebuchet MS" w:hAnsi="Trebuchet MS"/>
          <w:sz w:val="20"/>
          <w:szCs w:val="20"/>
        </w:rPr>
        <w:t xml:space="preserve"> a </w:t>
      </w:r>
      <w:r w:rsidR="006D7784" w:rsidRPr="0038744F">
        <w:rPr>
          <w:rFonts w:ascii="Trebuchet MS" w:hAnsi="Trebuchet MS"/>
          <w:sz w:val="20"/>
          <w:szCs w:val="20"/>
        </w:rPr>
        <w:t>high-level</w:t>
      </w:r>
      <w:r w:rsidRPr="0038744F">
        <w:rPr>
          <w:rFonts w:ascii="Trebuchet MS" w:hAnsi="Trebuchet MS"/>
          <w:sz w:val="20"/>
          <w:szCs w:val="20"/>
        </w:rPr>
        <w:t xml:space="preserve"> overview of how capital expenditure, capital financing and treasury management activity contribute to the provision of </w:t>
      </w:r>
      <w:r w:rsidR="00C43DCD" w:rsidRPr="0038744F">
        <w:rPr>
          <w:rFonts w:ascii="Trebuchet MS" w:hAnsi="Trebuchet MS"/>
          <w:sz w:val="20"/>
          <w:szCs w:val="20"/>
        </w:rPr>
        <w:t>local public</w:t>
      </w:r>
      <w:r w:rsidRPr="0038744F">
        <w:rPr>
          <w:rFonts w:ascii="Trebuchet MS" w:hAnsi="Trebuchet MS"/>
          <w:sz w:val="20"/>
          <w:szCs w:val="20"/>
        </w:rPr>
        <w:t xml:space="preserve"> services along with an overview of how associated risk is managed and the implications for future financial sustainability. It</w:t>
      </w:r>
      <w:r w:rsidRPr="00E42152">
        <w:rPr>
          <w:rFonts w:ascii="Trebuchet MS" w:hAnsi="Trebuchet MS"/>
          <w:sz w:val="20"/>
          <w:szCs w:val="20"/>
        </w:rPr>
        <w:t xml:space="preserve"> has been written </w:t>
      </w:r>
      <w:r w:rsidR="006D7784" w:rsidRPr="00E42152">
        <w:rPr>
          <w:rFonts w:ascii="Trebuchet MS" w:hAnsi="Trebuchet MS"/>
          <w:sz w:val="20"/>
          <w:szCs w:val="20"/>
        </w:rPr>
        <w:t xml:space="preserve">in an accessible style </w:t>
      </w:r>
      <w:r w:rsidRPr="00E42152">
        <w:rPr>
          <w:rFonts w:ascii="Trebuchet MS" w:hAnsi="Trebuchet MS"/>
          <w:sz w:val="20"/>
          <w:szCs w:val="20"/>
        </w:rPr>
        <w:t xml:space="preserve">to </w:t>
      </w:r>
      <w:r w:rsidR="006D7784" w:rsidRPr="00E42152">
        <w:rPr>
          <w:rFonts w:ascii="Trebuchet MS" w:hAnsi="Trebuchet MS"/>
          <w:sz w:val="20"/>
          <w:szCs w:val="20"/>
        </w:rPr>
        <w:t>enhance understanding of these technical areas.</w:t>
      </w:r>
    </w:p>
    <w:p w14:paraId="711A3E7E" w14:textId="6ABF96D7" w:rsidR="00753FF6" w:rsidRPr="00753FF6" w:rsidRDefault="00753FF6" w:rsidP="00753FF6">
      <w:pPr>
        <w:spacing w:after="200" w:line="276" w:lineRule="auto"/>
        <w:jc w:val="both"/>
        <w:rPr>
          <w:rFonts w:ascii="Trebuchet MS" w:hAnsi="Trebuchet MS"/>
          <w:bCs/>
          <w:sz w:val="20"/>
          <w:szCs w:val="20"/>
        </w:rPr>
      </w:pPr>
      <w:r w:rsidRPr="00DE3655">
        <w:rPr>
          <w:rFonts w:ascii="Trebuchet MS" w:hAnsi="Trebuchet MS"/>
          <w:bCs/>
          <w:sz w:val="20"/>
          <w:szCs w:val="20"/>
        </w:rPr>
        <w:t xml:space="preserve">Decisions made this year on capital and treasury </w:t>
      </w:r>
      <w:r w:rsidR="000B3297" w:rsidRPr="00DE3655">
        <w:rPr>
          <w:rFonts w:ascii="Trebuchet MS" w:hAnsi="Trebuchet MS"/>
          <w:bCs/>
          <w:sz w:val="20"/>
          <w:szCs w:val="20"/>
        </w:rPr>
        <w:t xml:space="preserve">management </w:t>
      </w:r>
      <w:r w:rsidRPr="00DE3655">
        <w:rPr>
          <w:rFonts w:ascii="Trebuchet MS" w:hAnsi="Trebuchet MS"/>
          <w:bCs/>
          <w:sz w:val="20"/>
          <w:szCs w:val="20"/>
        </w:rPr>
        <w:t>will have financial consequences for the Authority for many years into the future.</w:t>
      </w:r>
      <w:r w:rsidR="000B3297" w:rsidRPr="00DE3655">
        <w:rPr>
          <w:rFonts w:ascii="Trebuchet MS" w:hAnsi="Trebuchet MS"/>
          <w:bCs/>
          <w:sz w:val="20"/>
          <w:szCs w:val="20"/>
        </w:rPr>
        <w:t xml:space="preserve"> They are therefore subject to both a national regulatory framework and to local policy framework, summarised in this report.</w:t>
      </w:r>
    </w:p>
    <w:p w14:paraId="2F421461" w14:textId="445F4A63" w:rsidR="00EB265C" w:rsidRPr="00E42152" w:rsidRDefault="00EB265C" w:rsidP="00753FF6">
      <w:pPr>
        <w:pStyle w:val="ListParagraph"/>
        <w:spacing w:before="400" w:after="200" w:line="276" w:lineRule="auto"/>
        <w:ind w:left="0"/>
        <w:contextualSpacing w:val="0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E42152">
        <w:rPr>
          <w:rFonts w:ascii="Trebuchet MS" w:hAnsi="Trebuchet MS"/>
          <w:b/>
          <w:sz w:val="20"/>
          <w:szCs w:val="20"/>
          <w:u w:val="single"/>
        </w:rPr>
        <w:t xml:space="preserve">Capital </w:t>
      </w:r>
      <w:r w:rsidR="00E42152" w:rsidRPr="00E42152">
        <w:rPr>
          <w:rFonts w:ascii="Trebuchet MS" w:hAnsi="Trebuchet MS"/>
          <w:b/>
          <w:sz w:val="20"/>
          <w:szCs w:val="20"/>
          <w:u w:val="single"/>
        </w:rPr>
        <w:t>E</w:t>
      </w:r>
      <w:r w:rsidRPr="00E42152">
        <w:rPr>
          <w:rFonts w:ascii="Trebuchet MS" w:hAnsi="Trebuchet MS"/>
          <w:b/>
          <w:sz w:val="20"/>
          <w:szCs w:val="20"/>
          <w:u w:val="single"/>
        </w:rPr>
        <w:t xml:space="preserve">xpenditure and </w:t>
      </w:r>
      <w:r w:rsidR="00E42152" w:rsidRPr="00E42152">
        <w:rPr>
          <w:rFonts w:ascii="Trebuchet MS" w:hAnsi="Trebuchet MS"/>
          <w:b/>
          <w:sz w:val="20"/>
          <w:szCs w:val="20"/>
          <w:u w:val="single"/>
        </w:rPr>
        <w:t>F</w:t>
      </w:r>
      <w:r w:rsidRPr="00E42152">
        <w:rPr>
          <w:rFonts w:ascii="Trebuchet MS" w:hAnsi="Trebuchet MS"/>
          <w:b/>
          <w:sz w:val="20"/>
          <w:szCs w:val="20"/>
          <w:u w:val="single"/>
        </w:rPr>
        <w:t>inancing</w:t>
      </w:r>
    </w:p>
    <w:p w14:paraId="0CDB9238" w14:textId="45A3621E" w:rsidR="005662A0" w:rsidRPr="00E42152" w:rsidRDefault="00736DD3" w:rsidP="00237CFE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E42152">
        <w:rPr>
          <w:rFonts w:ascii="Trebuchet MS" w:hAnsi="Trebuchet MS"/>
          <w:sz w:val="20"/>
          <w:szCs w:val="20"/>
        </w:rPr>
        <w:t xml:space="preserve">Capital expenditure is where the </w:t>
      </w:r>
      <w:r w:rsidR="008E3BE3">
        <w:rPr>
          <w:rFonts w:ascii="Trebuchet MS" w:hAnsi="Trebuchet MS"/>
          <w:sz w:val="20"/>
          <w:szCs w:val="20"/>
        </w:rPr>
        <w:t>Authority</w:t>
      </w:r>
      <w:r w:rsidRPr="00E42152">
        <w:rPr>
          <w:rFonts w:ascii="Trebuchet MS" w:hAnsi="Trebuchet MS"/>
          <w:sz w:val="20"/>
          <w:szCs w:val="20"/>
        </w:rPr>
        <w:t xml:space="preserve"> spends money on assets, such as property or vehicles, that will be used for </w:t>
      </w:r>
      <w:r w:rsidR="000A298C">
        <w:rPr>
          <w:rFonts w:ascii="Trebuchet MS" w:hAnsi="Trebuchet MS"/>
          <w:sz w:val="20"/>
          <w:szCs w:val="20"/>
        </w:rPr>
        <w:t>more</w:t>
      </w:r>
      <w:r w:rsidRPr="00E42152">
        <w:rPr>
          <w:rFonts w:ascii="Trebuchet MS" w:hAnsi="Trebuchet MS"/>
          <w:sz w:val="20"/>
          <w:szCs w:val="20"/>
        </w:rPr>
        <w:t xml:space="preserve"> than </w:t>
      </w:r>
      <w:r w:rsidR="000A298C">
        <w:rPr>
          <w:rFonts w:ascii="Trebuchet MS" w:hAnsi="Trebuchet MS"/>
          <w:sz w:val="20"/>
          <w:szCs w:val="20"/>
        </w:rPr>
        <w:t xml:space="preserve">one </w:t>
      </w:r>
      <w:r w:rsidRPr="00E42152">
        <w:rPr>
          <w:rFonts w:ascii="Trebuchet MS" w:hAnsi="Trebuchet MS"/>
          <w:sz w:val="20"/>
          <w:szCs w:val="20"/>
        </w:rPr>
        <w:t xml:space="preserve">year. In local government this includes spending on assets owned by other bodies, and loans and grants to other bodies </w:t>
      </w:r>
      <w:r w:rsidR="0038744F">
        <w:rPr>
          <w:rFonts w:ascii="Trebuchet MS" w:hAnsi="Trebuchet MS"/>
          <w:sz w:val="20"/>
          <w:szCs w:val="20"/>
        </w:rPr>
        <w:t xml:space="preserve">enabling them </w:t>
      </w:r>
      <w:r w:rsidRPr="00E42152">
        <w:rPr>
          <w:rFonts w:ascii="Trebuchet MS" w:hAnsi="Trebuchet MS"/>
          <w:sz w:val="20"/>
          <w:szCs w:val="20"/>
        </w:rPr>
        <w:t>to buy assets.</w:t>
      </w:r>
    </w:p>
    <w:p w14:paraId="7571B1E8" w14:textId="5A251BE3" w:rsidR="00A07CB6" w:rsidRPr="00E42152" w:rsidRDefault="00083794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Capital Programme approved by the Commissioner in February 2026 is</w:t>
      </w:r>
      <w:r w:rsidR="004A47E5">
        <w:rPr>
          <w:rFonts w:ascii="Trebuchet MS" w:hAnsi="Trebuchet MS"/>
          <w:sz w:val="20"/>
          <w:szCs w:val="20"/>
        </w:rPr>
        <w:t>:</w:t>
      </w:r>
    </w:p>
    <w:p w14:paraId="52FBCA80" w14:textId="6FD4B91B" w:rsidR="00736DD3" w:rsidRPr="00E42152" w:rsidRDefault="00736DD3" w:rsidP="000401F1">
      <w:pPr>
        <w:spacing w:after="200" w:line="276" w:lineRule="auto"/>
        <w:rPr>
          <w:rFonts w:ascii="Trebuchet MS" w:hAnsi="Trebuchet MS"/>
          <w:i/>
          <w:sz w:val="20"/>
          <w:szCs w:val="20"/>
        </w:rPr>
      </w:pPr>
      <w:r w:rsidRPr="00E42152">
        <w:rPr>
          <w:rFonts w:ascii="Trebuchet MS" w:hAnsi="Trebuchet MS"/>
          <w:i/>
          <w:sz w:val="20"/>
          <w:szCs w:val="20"/>
        </w:rPr>
        <w:t xml:space="preserve">Table 1: </w:t>
      </w:r>
      <w:r w:rsidR="00083794">
        <w:rPr>
          <w:rFonts w:ascii="Trebuchet MS" w:hAnsi="Trebuchet MS"/>
          <w:i/>
          <w:sz w:val="20"/>
          <w:szCs w:val="20"/>
        </w:rPr>
        <w:t>Capital Programme 2026/27 to 2029/30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998"/>
        <w:gridCol w:w="998"/>
        <w:gridCol w:w="998"/>
        <w:gridCol w:w="998"/>
        <w:gridCol w:w="993"/>
      </w:tblGrid>
      <w:tr w:rsidR="00083794" w:rsidRPr="00E42152" w14:paraId="70C833B7" w14:textId="6899605F" w:rsidTr="00083794">
        <w:tc>
          <w:tcPr>
            <w:tcW w:w="0" w:type="auto"/>
          </w:tcPr>
          <w:p w14:paraId="790BE757" w14:textId="77777777" w:rsidR="00083794" w:rsidRPr="00E42152" w:rsidRDefault="00083794" w:rsidP="004B5DFB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23ECF63F" w14:textId="38B6407C" w:rsidR="00083794" w:rsidRPr="00E42152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2026/27</w:t>
            </w:r>
          </w:p>
        </w:tc>
        <w:tc>
          <w:tcPr>
            <w:tcW w:w="0" w:type="auto"/>
          </w:tcPr>
          <w:p w14:paraId="54AF9BD6" w14:textId="3A9EF101" w:rsidR="00083794" w:rsidRPr="00E42152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2027/28</w:t>
            </w:r>
          </w:p>
        </w:tc>
        <w:tc>
          <w:tcPr>
            <w:tcW w:w="0" w:type="auto"/>
          </w:tcPr>
          <w:p w14:paraId="6FFA4F7C" w14:textId="784DA0D7" w:rsidR="00083794" w:rsidRPr="00E42152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2028/29</w:t>
            </w:r>
          </w:p>
        </w:tc>
        <w:tc>
          <w:tcPr>
            <w:tcW w:w="0" w:type="auto"/>
          </w:tcPr>
          <w:p w14:paraId="46788EFC" w14:textId="13C76E85" w:rsidR="00083794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2029/30</w:t>
            </w:r>
          </w:p>
        </w:tc>
        <w:tc>
          <w:tcPr>
            <w:tcW w:w="0" w:type="auto"/>
          </w:tcPr>
          <w:p w14:paraId="5F12FE37" w14:textId="252B89B9" w:rsidR="00083794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Total</w:t>
            </w:r>
          </w:p>
        </w:tc>
      </w:tr>
      <w:tr w:rsidR="00083794" w:rsidRPr="00E42152" w14:paraId="757232F4" w14:textId="76AF7EC9" w:rsidTr="00083794">
        <w:tc>
          <w:tcPr>
            <w:tcW w:w="0" w:type="auto"/>
          </w:tcPr>
          <w:p w14:paraId="0D026470" w14:textId="77777777" w:rsidR="00083794" w:rsidRPr="00E42152" w:rsidRDefault="00083794" w:rsidP="004B5DFB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2FD3CBE5" w14:textId="26D7B39F" w:rsidR="00083794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6B41D44D" w14:textId="30155E41" w:rsidR="00083794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577A6C15" w14:textId="743D9014" w:rsidR="00083794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0E9140DE" w14:textId="7765E0A7" w:rsidR="00083794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459FDA0F" w14:textId="07FD4107" w:rsidR="00083794" w:rsidRDefault="00083794" w:rsidP="004B5DFB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</w:tr>
      <w:tr w:rsidR="00083794" w:rsidRPr="00E42152" w14:paraId="26BD251E" w14:textId="77777777" w:rsidTr="000D2E80">
        <w:tc>
          <w:tcPr>
            <w:tcW w:w="0" w:type="auto"/>
          </w:tcPr>
          <w:p w14:paraId="6F62E5A0" w14:textId="29E0F14C" w:rsidR="00083794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IT</w:t>
            </w:r>
          </w:p>
        </w:tc>
        <w:tc>
          <w:tcPr>
            <w:tcW w:w="0" w:type="auto"/>
            <w:vAlign w:val="center"/>
          </w:tcPr>
          <w:p w14:paraId="401021BD" w14:textId="230335A2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7.000</w:t>
            </w:r>
          </w:p>
        </w:tc>
        <w:tc>
          <w:tcPr>
            <w:tcW w:w="0" w:type="auto"/>
            <w:vAlign w:val="center"/>
          </w:tcPr>
          <w:p w14:paraId="45EB17D1" w14:textId="4D2D4A76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7.000</w:t>
            </w:r>
          </w:p>
        </w:tc>
        <w:tc>
          <w:tcPr>
            <w:tcW w:w="0" w:type="auto"/>
          </w:tcPr>
          <w:p w14:paraId="66FD83B1" w14:textId="5D8E7D10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7.000</w:t>
            </w:r>
          </w:p>
        </w:tc>
        <w:tc>
          <w:tcPr>
            <w:tcW w:w="0" w:type="auto"/>
          </w:tcPr>
          <w:p w14:paraId="26B2042E" w14:textId="3E60B3BE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7.000</w:t>
            </w:r>
          </w:p>
        </w:tc>
        <w:tc>
          <w:tcPr>
            <w:tcW w:w="0" w:type="auto"/>
          </w:tcPr>
          <w:p w14:paraId="16571B40" w14:textId="4266FB90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sz w:val="20"/>
                <w:szCs w:val="20"/>
              </w:rPr>
              <w:instrText xml:space="preserve"> =SUM(LEFT) </w:instrText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28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r>
              <w:rPr>
                <w:rFonts w:ascii="Trebuchet MS" w:hAnsi="Trebuchet MS"/>
                <w:sz w:val="20"/>
                <w:szCs w:val="20"/>
              </w:rPr>
              <w:t>.000</w:t>
            </w:r>
          </w:p>
        </w:tc>
      </w:tr>
      <w:tr w:rsidR="00083794" w:rsidRPr="00E42152" w14:paraId="2E6C97DB" w14:textId="77777777" w:rsidTr="000D2E80">
        <w:tc>
          <w:tcPr>
            <w:tcW w:w="0" w:type="auto"/>
          </w:tcPr>
          <w:p w14:paraId="7586F294" w14:textId="0E6DBBFB" w:rsidR="00083794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ESN replacement</w:t>
            </w:r>
          </w:p>
        </w:tc>
        <w:tc>
          <w:tcPr>
            <w:tcW w:w="0" w:type="auto"/>
            <w:vAlign w:val="center"/>
          </w:tcPr>
          <w:p w14:paraId="55150409" w14:textId="1EDC4D34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0.163</w:t>
            </w:r>
          </w:p>
        </w:tc>
        <w:tc>
          <w:tcPr>
            <w:tcW w:w="0" w:type="auto"/>
            <w:vAlign w:val="center"/>
          </w:tcPr>
          <w:p w14:paraId="2248B93E" w14:textId="048A7AD1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0.152</w:t>
            </w:r>
          </w:p>
        </w:tc>
        <w:tc>
          <w:tcPr>
            <w:tcW w:w="0" w:type="auto"/>
            <w:vAlign w:val="center"/>
          </w:tcPr>
          <w:p w14:paraId="5AF74F8C" w14:textId="4F965CDF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9.890</w:t>
            </w:r>
          </w:p>
        </w:tc>
        <w:tc>
          <w:tcPr>
            <w:tcW w:w="0" w:type="auto"/>
            <w:vAlign w:val="center"/>
          </w:tcPr>
          <w:p w14:paraId="5CB38766" w14:textId="5675B2A6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5.963</w:t>
            </w:r>
          </w:p>
        </w:tc>
        <w:tc>
          <w:tcPr>
            <w:tcW w:w="0" w:type="auto"/>
          </w:tcPr>
          <w:p w14:paraId="6E5E3037" w14:textId="43CBAC9D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sz w:val="20"/>
                <w:szCs w:val="20"/>
              </w:rPr>
              <w:instrText xml:space="preserve"> =SUM(left) </w:instrText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16.168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083794" w:rsidRPr="00E42152" w14:paraId="0971DE91" w14:textId="77777777" w:rsidTr="000D2E80">
        <w:tc>
          <w:tcPr>
            <w:tcW w:w="0" w:type="auto"/>
          </w:tcPr>
          <w:p w14:paraId="4355A278" w14:textId="0BD677DB" w:rsidR="00083794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Accommodation</w:t>
            </w:r>
          </w:p>
        </w:tc>
        <w:tc>
          <w:tcPr>
            <w:tcW w:w="0" w:type="auto"/>
            <w:vAlign w:val="center"/>
          </w:tcPr>
          <w:p w14:paraId="4746A2B2" w14:textId="7C5369C3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39.683</w:t>
            </w:r>
          </w:p>
        </w:tc>
        <w:tc>
          <w:tcPr>
            <w:tcW w:w="0" w:type="auto"/>
            <w:vAlign w:val="center"/>
          </w:tcPr>
          <w:p w14:paraId="7BDC5CFA" w14:textId="270D476A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51.753</w:t>
            </w:r>
          </w:p>
        </w:tc>
        <w:tc>
          <w:tcPr>
            <w:tcW w:w="0" w:type="auto"/>
          </w:tcPr>
          <w:p w14:paraId="4FE7EC9D" w14:textId="437984CD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50.095</w:t>
            </w:r>
          </w:p>
        </w:tc>
        <w:tc>
          <w:tcPr>
            <w:tcW w:w="0" w:type="auto"/>
          </w:tcPr>
          <w:p w14:paraId="0F6D1E60" w14:textId="27E87767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47.125</w:t>
            </w:r>
          </w:p>
        </w:tc>
        <w:tc>
          <w:tcPr>
            <w:tcW w:w="0" w:type="auto"/>
          </w:tcPr>
          <w:p w14:paraId="68330C75" w14:textId="2023F68B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sz w:val="20"/>
                <w:szCs w:val="20"/>
              </w:rPr>
              <w:instrText xml:space="preserve"> =SUM(left) </w:instrText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188.656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083794" w:rsidRPr="00E42152" w14:paraId="6D09A38B" w14:textId="77777777" w:rsidTr="000D2E80">
        <w:tc>
          <w:tcPr>
            <w:tcW w:w="0" w:type="auto"/>
          </w:tcPr>
          <w:p w14:paraId="229443D1" w14:textId="241CE903" w:rsidR="00083794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Vehicle replacement</w:t>
            </w:r>
          </w:p>
        </w:tc>
        <w:tc>
          <w:tcPr>
            <w:tcW w:w="0" w:type="auto"/>
            <w:vAlign w:val="center"/>
          </w:tcPr>
          <w:p w14:paraId="2CFA737B" w14:textId="1C397679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  <w:vAlign w:val="center"/>
          </w:tcPr>
          <w:p w14:paraId="1F2D0543" w14:textId="6382C171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14:paraId="1D2F8B12" w14:textId="2A4402D0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14:paraId="43F70010" w14:textId="0E2CBB95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</w:tcPr>
          <w:p w14:paraId="75CA4D6F" w14:textId="73DA947A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20.000</w:t>
            </w:r>
          </w:p>
        </w:tc>
      </w:tr>
      <w:tr w:rsidR="00083794" w:rsidRPr="00E42152" w14:paraId="67E4769A" w14:textId="77777777" w:rsidTr="000D2E80">
        <w:tc>
          <w:tcPr>
            <w:tcW w:w="0" w:type="auto"/>
          </w:tcPr>
          <w:p w14:paraId="276826F0" w14:textId="1A631CB9" w:rsidR="00083794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 schemes</w:t>
            </w:r>
          </w:p>
        </w:tc>
        <w:tc>
          <w:tcPr>
            <w:tcW w:w="0" w:type="auto"/>
            <w:vAlign w:val="center"/>
          </w:tcPr>
          <w:p w14:paraId="61AA7EF5" w14:textId="65250AAF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1.641</w:t>
            </w:r>
          </w:p>
        </w:tc>
        <w:tc>
          <w:tcPr>
            <w:tcW w:w="0" w:type="auto"/>
            <w:vAlign w:val="center"/>
          </w:tcPr>
          <w:p w14:paraId="64D55890" w14:textId="5917C752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1.223</w:t>
            </w:r>
          </w:p>
        </w:tc>
        <w:tc>
          <w:tcPr>
            <w:tcW w:w="0" w:type="auto"/>
          </w:tcPr>
          <w:p w14:paraId="67B38B2A" w14:textId="00467646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1.290</w:t>
            </w:r>
          </w:p>
        </w:tc>
        <w:tc>
          <w:tcPr>
            <w:tcW w:w="0" w:type="auto"/>
          </w:tcPr>
          <w:p w14:paraId="6DEEB7F3" w14:textId="2A341AF8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sz w:val="20"/>
                <w:szCs w:val="20"/>
              </w:rPr>
              <w:t>0.490</w:t>
            </w:r>
          </w:p>
        </w:tc>
        <w:tc>
          <w:tcPr>
            <w:tcW w:w="0" w:type="auto"/>
          </w:tcPr>
          <w:p w14:paraId="7A13E27B" w14:textId="77A8C67F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sz w:val="20"/>
                <w:szCs w:val="20"/>
              </w:rPr>
              <w:instrText xml:space="preserve"> =SUM(left) </w:instrText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4.644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083794" w:rsidRPr="00E42152" w14:paraId="23A432AE" w14:textId="207D40CD" w:rsidTr="00083794">
        <w:tc>
          <w:tcPr>
            <w:tcW w:w="0" w:type="auto"/>
            <w:shd w:val="clear" w:color="auto" w:fill="D9E2F3" w:themeFill="accent1" w:themeFillTint="33"/>
          </w:tcPr>
          <w:p w14:paraId="4B74F46F" w14:textId="23E08FA5" w:rsidR="00083794" w:rsidRPr="00083794" w:rsidRDefault="00083794" w:rsidP="00083794">
            <w:pPr>
              <w:spacing w:line="27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83794">
              <w:rPr>
                <w:rFonts w:ascii="Trebuchet MS" w:hAnsi="Trebuchet M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A5541F0" w14:textId="68E80F34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53.487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3CF6389" w14:textId="558B8A61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65.128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62A6653" w14:textId="2058780B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73.275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7896BCB" w14:textId="39B5F572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65.578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02BB9AA" w14:textId="5CE92E45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257.468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5FD41AF" w14:textId="77777777" w:rsidR="00D9788B" w:rsidRDefault="00D9788B" w:rsidP="00A07CB6">
      <w:pPr>
        <w:spacing w:after="0" w:line="276" w:lineRule="auto"/>
        <w:rPr>
          <w:rFonts w:ascii="Trebuchet MS" w:hAnsi="Trebuchet MS"/>
          <w:i/>
          <w:color w:val="AF173B"/>
          <w:sz w:val="20"/>
          <w:szCs w:val="20"/>
        </w:rPr>
      </w:pPr>
    </w:p>
    <w:p w14:paraId="15D8A228" w14:textId="45C470C1" w:rsidR="00EB265C" w:rsidRPr="008E2B9C" w:rsidRDefault="00A74078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8E2B9C">
        <w:rPr>
          <w:rFonts w:ascii="Trebuchet MS" w:hAnsi="Trebuchet MS"/>
          <w:b/>
          <w:sz w:val="20"/>
          <w:szCs w:val="20"/>
        </w:rPr>
        <w:t>Governance</w:t>
      </w:r>
      <w:r w:rsidR="00EB265C" w:rsidRPr="008E2B9C">
        <w:rPr>
          <w:rFonts w:ascii="Trebuchet MS" w:hAnsi="Trebuchet MS"/>
          <w:sz w:val="20"/>
          <w:szCs w:val="20"/>
        </w:rPr>
        <w:t xml:space="preserve">: </w:t>
      </w:r>
      <w:r w:rsidR="008E2B9C" w:rsidRPr="008E2B9C">
        <w:rPr>
          <w:rFonts w:ascii="Trebuchet MS" w:hAnsi="Trebuchet MS"/>
          <w:sz w:val="20"/>
          <w:szCs w:val="20"/>
        </w:rPr>
        <w:t>Departmental</w:t>
      </w:r>
      <w:r w:rsidR="00823BF2" w:rsidRPr="008E2B9C">
        <w:rPr>
          <w:rFonts w:ascii="Trebuchet MS" w:hAnsi="Trebuchet MS"/>
          <w:sz w:val="20"/>
          <w:szCs w:val="20"/>
        </w:rPr>
        <w:t xml:space="preserve"> heads</w:t>
      </w:r>
      <w:r w:rsidR="00EB265C" w:rsidRPr="008E2B9C">
        <w:rPr>
          <w:rFonts w:ascii="Trebuchet MS" w:hAnsi="Trebuchet MS"/>
          <w:sz w:val="20"/>
          <w:szCs w:val="20"/>
        </w:rPr>
        <w:t xml:space="preserve"> bid annually in September</w:t>
      </w:r>
      <w:r w:rsidR="00823BF2" w:rsidRPr="008E2B9C">
        <w:rPr>
          <w:rFonts w:ascii="Trebuchet MS" w:hAnsi="Trebuchet MS"/>
          <w:sz w:val="20"/>
          <w:szCs w:val="20"/>
        </w:rPr>
        <w:t xml:space="preserve"> </w:t>
      </w:r>
      <w:r w:rsidR="00EB265C" w:rsidRPr="008E2B9C">
        <w:rPr>
          <w:rFonts w:ascii="Trebuchet MS" w:hAnsi="Trebuchet MS"/>
          <w:sz w:val="20"/>
          <w:szCs w:val="20"/>
        </w:rPr>
        <w:t xml:space="preserve">to include projects in the </w:t>
      </w:r>
      <w:r w:rsidR="008E3BE3" w:rsidRPr="008E2B9C">
        <w:rPr>
          <w:rFonts w:ascii="Trebuchet MS" w:hAnsi="Trebuchet MS"/>
          <w:sz w:val="20"/>
          <w:szCs w:val="20"/>
        </w:rPr>
        <w:t>Authority</w:t>
      </w:r>
      <w:r w:rsidR="00EB265C" w:rsidRPr="008E2B9C">
        <w:rPr>
          <w:rFonts w:ascii="Trebuchet MS" w:hAnsi="Trebuchet MS"/>
          <w:sz w:val="20"/>
          <w:szCs w:val="20"/>
        </w:rPr>
        <w:t xml:space="preserve">’s capital programme. Bids are collated by </w:t>
      </w:r>
      <w:r w:rsidR="00823BF2" w:rsidRPr="008E2B9C">
        <w:rPr>
          <w:rFonts w:ascii="Trebuchet MS" w:hAnsi="Trebuchet MS"/>
          <w:sz w:val="20"/>
          <w:szCs w:val="20"/>
        </w:rPr>
        <w:t xml:space="preserve">the </w:t>
      </w:r>
      <w:r w:rsidR="008E2B9C" w:rsidRPr="008E2B9C">
        <w:rPr>
          <w:rFonts w:ascii="Trebuchet MS" w:hAnsi="Trebuchet MS"/>
          <w:sz w:val="20"/>
          <w:szCs w:val="20"/>
        </w:rPr>
        <w:t>Finance</w:t>
      </w:r>
      <w:r w:rsidR="00823BF2" w:rsidRPr="008E2B9C">
        <w:rPr>
          <w:rFonts w:ascii="Trebuchet MS" w:hAnsi="Trebuchet MS"/>
          <w:sz w:val="20"/>
          <w:szCs w:val="20"/>
        </w:rPr>
        <w:t xml:space="preserve"> Departme</w:t>
      </w:r>
      <w:r w:rsidR="00274A6C">
        <w:rPr>
          <w:rFonts w:ascii="Trebuchet MS" w:hAnsi="Trebuchet MS"/>
          <w:sz w:val="20"/>
          <w:szCs w:val="20"/>
        </w:rPr>
        <w:t>n</w:t>
      </w:r>
      <w:r w:rsidR="00823BF2" w:rsidRPr="008E2B9C">
        <w:rPr>
          <w:rFonts w:ascii="Trebuchet MS" w:hAnsi="Trebuchet MS"/>
          <w:sz w:val="20"/>
          <w:szCs w:val="20"/>
        </w:rPr>
        <w:t>t</w:t>
      </w:r>
      <w:r w:rsidR="00EB265C" w:rsidRPr="008E2B9C">
        <w:rPr>
          <w:rFonts w:ascii="Trebuchet MS" w:hAnsi="Trebuchet MS"/>
          <w:sz w:val="20"/>
          <w:szCs w:val="20"/>
        </w:rPr>
        <w:t xml:space="preserve"> who calculate the financing cost (which can be nil if the project is fully externally financed). The </w:t>
      </w:r>
      <w:r w:rsidR="00FD59BE" w:rsidRPr="008E2B9C">
        <w:rPr>
          <w:rFonts w:ascii="Trebuchet MS" w:hAnsi="Trebuchet MS"/>
          <w:sz w:val="20"/>
          <w:szCs w:val="20"/>
        </w:rPr>
        <w:t>Chief Financial Officer</w:t>
      </w:r>
      <w:r w:rsidR="00EB265C" w:rsidRPr="008E2B9C">
        <w:rPr>
          <w:rFonts w:ascii="Trebuchet MS" w:hAnsi="Trebuchet MS"/>
          <w:sz w:val="20"/>
          <w:szCs w:val="20"/>
        </w:rPr>
        <w:t xml:space="preserve"> </w:t>
      </w:r>
      <w:r w:rsidR="004A47E5" w:rsidRPr="008E2B9C">
        <w:rPr>
          <w:rFonts w:ascii="Trebuchet MS" w:hAnsi="Trebuchet MS"/>
          <w:sz w:val="20"/>
          <w:szCs w:val="20"/>
        </w:rPr>
        <w:t>appraises</w:t>
      </w:r>
      <w:r w:rsidR="00EB265C" w:rsidRPr="008E2B9C">
        <w:rPr>
          <w:rFonts w:ascii="Trebuchet MS" w:hAnsi="Trebuchet MS"/>
          <w:sz w:val="20"/>
          <w:szCs w:val="20"/>
        </w:rPr>
        <w:t xml:space="preserve"> all bids based on a com</w:t>
      </w:r>
      <w:r w:rsidR="004A47E5" w:rsidRPr="008E2B9C">
        <w:rPr>
          <w:rFonts w:ascii="Trebuchet MS" w:hAnsi="Trebuchet MS"/>
          <w:sz w:val="20"/>
          <w:szCs w:val="20"/>
        </w:rPr>
        <w:t>parison</w:t>
      </w:r>
      <w:r w:rsidR="00EB265C" w:rsidRPr="008E2B9C">
        <w:rPr>
          <w:rFonts w:ascii="Trebuchet MS" w:hAnsi="Trebuchet MS"/>
          <w:sz w:val="20"/>
          <w:szCs w:val="20"/>
        </w:rPr>
        <w:t xml:space="preserve"> of s</w:t>
      </w:r>
      <w:r w:rsidR="006142B5" w:rsidRPr="008E2B9C">
        <w:rPr>
          <w:rFonts w:ascii="Trebuchet MS" w:hAnsi="Trebuchet MS"/>
          <w:sz w:val="20"/>
          <w:szCs w:val="20"/>
        </w:rPr>
        <w:t>trategic</w:t>
      </w:r>
      <w:r w:rsidR="00EB265C" w:rsidRPr="008E2B9C">
        <w:rPr>
          <w:rFonts w:ascii="Trebuchet MS" w:hAnsi="Trebuchet MS"/>
          <w:sz w:val="20"/>
          <w:szCs w:val="20"/>
        </w:rPr>
        <w:t xml:space="preserve"> priorities a</w:t>
      </w:r>
      <w:r w:rsidR="004A47E5" w:rsidRPr="008E2B9C">
        <w:rPr>
          <w:rFonts w:ascii="Trebuchet MS" w:hAnsi="Trebuchet MS"/>
          <w:sz w:val="20"/>
          <w:szCs w:val="20"/>
        </w:rPr>
        <w:t xml:space="preserve">gainst </w:t>
      </w:r>
      <w:r w:rsidR="00EB265C" w:rsidRPr="008E2B9C">
        <w:rPr>
          <w:rFonts w:ascii="Trebuchet MS" w:hAnsi="Trebuchet MS"/>
          <w:sz w:val="20"/>
          <w:szCs w:val="20"/>
        </w:rPr>
        <w:t>financing cost</w:t>
      </w:r>
      <w:r w:rsidR="004A47E5" w:rsidRPr="008E2B9C">
        <w:rPr>
          <w:rFonts w:ascii="Trebuchet MS" w:hAnsi="Trebuchet MS"/>
          <w:sz w:val="20"/>
          <w:szCs w:val="20"/>
        </w:rPr>
        <w:t>s</w:t>
      </w:r>
      <w:r w:rsidR="005662A0" w:rsidRPr="008E2B9C">
        <w:rPr>
          <w:rFonts w:ascii="Trebuchet MS" w:hAnsi="Trebuchet MS"/>
          <w:sz w:val="20"/>
          <w:szCs w:val="20"/>
        </w:rPr>
        <w:t xml:space="preserve"> and makes recommendations to</w:t>
      </w:r>
      <w:r w:rsidR="00FD59BE" w:rsidRPr="008E2B9C">
        <w:rPr>
          <w:rFonts w:ascii="Trebuchet MS" w:hAnsi="Trebuchet MS"/>
          <w:sz w:val="20"/>
          <w:szCs w:val="20"/>
        </w:rPr>
        <w:t xml:space="preserve"> the Police and Crime Commissioner</w:t>
      </w:r>
      <w:r w:rsidR="005662A0" w:rsidRPr="008E2B9C">
        <w:rPr>
          <w:rFonts w:ascii="Trebuchet MS" w:hAnsi="Trebuchet MS"/>
          <w:sz w:val="20"/>
          <w:szCs w:val="20"/>
        </w:rPr>
        <w:t xml:space="preserve">. The final capital programme is then presented to </w:t>
      </w:r>
      <w:r w:rsidR="00FD59BE" w:rsidRPr="008E2B9C">
        <w:rPr>
          <w:rFonts w:ascii="Trebuchet MS" w:hAnsi="Trebuchet MS"/>
          <w:sz w:val="20"/>
          <w:szCs w:val="20"/>
        </w:rPr>
        <w:t xml:space="preserve">the Accountability Board </w:t>
      </w:r>
      <w:r w:rsidR="005662A0" w:rsidRPr="008E2B9C">
        <w:rPr>
          <w:rFonts w:ascii="Trebuchet MS" w:hAnsi="Trebuchet MS"/>
          <w:sz w:val="20"/>
          <w:szCs w:val="20"/>
        </w:rPr>
        <w:t>in February each year</w:t>
      </w:r>
      <w:r w:rsidR="00083794">
        <w:rPr>
          <w:rFonts w:ascii="Trebuchet MS" w:hAnsi="Trebuchet MS"/>
          <w:sz w:val="20"/>
          <w:szCs w:val="20"/>
        </w:rPr>
        <w:t xml:space="preserve"> for approval by the PCC</w:t>
      </w:r>
      <w:r w:rsidR="005662A0" w:rsidRPr="008E2B9C">
        <w:rPr>
          <w:rFonts w:ascii="Trebuchet MS" w:hAnsi="Trebuchet MS"/>
          <w:sz w:val="20"/>
          <w:szCs w:val="20"/>
        </w:rPr>
        <w:t>.</w:t>
      </w:r>
    </w:p>
    <w:p w14:paraId="4779B058" w14:textId="4F542920" w:rsidR="005662A0" w:rsidRPr="007619C6" w:rsidRDefault="005662A0" w:rsidP="00753FF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7619C6">
        <w:rPr>
          <w:rFonts w:ascii="Trebuchet MS" w:hAnsi="Trebuchet MS"/>
          <w:sz w:val="20"/>
          <w:szCs w:val="20"/>
        </w:rPr>
        <w:t xml:space="preserve">For full details of the capital programme, see: </w:t>
      </w:r>
      <w:hyperlink r:id="rId9" w:history="1">
        <w:r w:rsidR="00083794">
          <w:rPr>
            <w:color w:val="0000FF"/>
            <w:u w:val="single"/>
          </w:rPr>
          <w:t>Revenue Budget and Capital Programme 2026.27</w:t>
        </w:r>
      </w:hyperlink>
    </w:p>
    <w:p w14:paraId="6CBA6BA2" w14:textId="176F7485" w:rsidR="006D7784" w:rsidRPr="00E42152" w:rsidRDefault="006D7784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E42152">
        <w:rPr>
          <w:rFonts w:ascii="Trebuchet MS" w:hAnsi="Trebuchet MS"/>
          <w:sz w:val="20"/>
          <w:szCs w:val="20"/>
        </w:rPr>
        <w:t>All capital expenditure must be financed, either from external sources (</w:t>
      </w:r>
      <w:r w:rsidR="00C43DCD" w:rsidRPr="00E42152">
        <w:rPr>
          <w:rFonts w:ascii="Trebuchet MS" w:hAnsi="Trebuchet MS"/>
          <w:sz w:val="20"/>
          <w:szCs w:val="20"/>
        </w:rPr>
        <w:t xml:space="preserve">government </w:t>
      </w:r>
      <w:r w:rsidRPr="00E42152">
        <w:rPr>
          <w:rFonts w:ascii="Trebuchet MS" w:hAnsi="Trebuchet MS"/>
          <w:sz w:val="20"/>
          <w:szCs w:val="20"/>
        </w:rPr>
        <w:t xml:space="preserve">grants and </w:t>
      </w:r>
      <w:r w:rsidR="00C43DCD" w:rsidRPr="00E42152">
        <w:rPr>
          <w:rFonts w:ascii="Trebuchet MS" w:hAnsi="Trebuchet MS"/>
          <w:sz w:val="20"/>
          <w:szCs w:val="20"/>
        </w:rPr>
        <w:t xml:space="preserve">other </w:t>
      </w:r>
      <w:r w:rsidRPr="00E42152">
        <w:rPr>
          <w:rFonts w:ascii="Trebuchet MS" w:hAnsi="Trebuchet MS"/>
          <w:sz w:val="20"/>
          <w:szCs w:val="20"/>
        </w:rPr>
        <w:t xml:space="preserve">contributions), </w:t>
      </w:r>
      <w:r w:rsidR="006C3C8A" w:rsidRPr="00E42152">
        <w:rPr>
          <w:rFonts w:ascii="Trebuchet MS" w:hAnsi="Trebuchet MS"/>
          <w:sz w:val="20"/>
          <w:szCs w:val="20"/>
        </w:rPr>
        <w:t xml:space="preserve">the </w:t>
      </w:r>
      <w:r w:rsidR="008E3BE3">
        <w:rPr>
          <w:rFonts w:ascii="Trebuchet MS" w:hAnsi="Trebuchet MS"/>
          <w:sz w:val="20"/>
          <w:szCs w:val="20"/>
        </w:rPr>
        <w:t>Authority</w:t>
      </w:r>
      <w:r w:rsidR="006C3C8A" w:rsidRPr="00E42152">
        <w:rPr>
          <w:rFonts w:ascii="Trebuchet MS" w:hAnsi="Trebuchet MS"/>
          <w:sz w:val="20"/>
          <w:szCs w:val="20"/>
        </w:rPr>
        <w:t>’s own</w:t>
      </w:r>
      <w:r w:rsidRPr="00E42152">
        <w:rPr>
          <w:rFonts w:ascii="Trebuchet MS" w:hAnsi="Trebuchet MS"/>
          <w:sz w:val="20"/>
          <w:szCs w:val="20"/>
        </w:rPr>
        <w:t xml:space="preserve"> resources (revenue</w:t>
      </w:r>
      <w:r w:rsidR="006C3C8A" w:rsidRPr="00E42152">
        <w:rPr>
          <w:rFonts w:ascii="Trebuchet MS" w:hAnsi="Trebuchet MS"/>
          <w:sz w:val="20"/>
          <w:szCs w:val="20"/>
        </w:rPr>
        <w:t xml:space="preserve">, </w:t>
      </w:r>
      <w:r w:rsidRPr="00E42152">
        <w:rPr>
          <w:rFonts w:ascii="Trebuchet MS" w:hAnsi="Trebuchet MS"/>
          <w:sz w:val="20"/>
          <w:szCs w:val="20"/>
        </w:rPr>
        <w:t>reserves</w:t>
      </w:r>
      <w:r w:rsidR="006C3C8A" w:rsidRPr="00E42152">
        <w:rPr>
          <w:rFonts w:ascii="Trebuchet MS" w:hAnsi="Trebuchet MS"/>
          <w:sz w:val="20"/>
          <w:szCs w:val="20"/>
        </w:rPr>
        <w:t xml:space="preserve"> and capital receipts</w:t>
      </w:r>
      <w:r w:rsidRPr="00E42152">
        <w:rPr>
          <w:rFonts w:ascii="Trebuchet MS" w:hAnsi="Trebuchet MS"/>
          <w:sz w:val="20"/>
          <w:szCs w:val="20"/>
        </w:rPr>
        <w:t>) or debt (borrowing, leasing and P</w:t>
      </w:r>
      <w:r w:rsidR="00A07CB6">
        <w:rPr>
          <w:rFonts w:ascii="Trebuchet MS" w:hAnsi="Trebuchet MS"/>
          <w:sz w:val="20"/>
          <w:szCs w:val="20"/>
        </w:rPr>
        <w:t xml:space="preserve">rivate </w:t>
      </w:r>
      <w:r w:rsidRPr="00E42152">
        <w:rPr>
          <w:rFonts w:ascii="Trebuchet MS" w:hAnsi="Trebuchet MS"/>
          <w:sz w:val="20"/>
          <w:szCs w:val="20"/>
        </w:rPr>
        <w:t>F</w:t>
      </w:r>
      <w:r w:rsidR="00A07CB6">
        <w:rPr>
          <w:rFonts w:ascii="Trebuchet MS" w:hAnsi="Trebuchet MS"/>
          <w:sz w:val="20"/>
          <w:szCs w:val="20"/>
        </w:rPr>
        <w:t xml:space="preserve">inance </w:t>
      </w:r>
      <w:r w:rsidRPr="00E42152">
        <w:rPr>
          <w:rFonts w:ascii="Trebuchet MS" w:hAnsi="Trebuchet MS"/>
          <w:sz w:val="20"/>
          <w:szCs w:val="20"/>
        </w:rPr>
        <w:t>I</w:t>
      </w:r>
      <w:r w:rsidR="00A07CB6">
        <w:rPr>
          <w:rFonts w:ascii="Trebuchet MS" w:hAnsi="Trebuchet MS"/>
          <w:sz w:val="20"/>
          <w:szCs w:val="20"/>
        </w:rPr>
        <w:t>nitiative</w:t>
      </w:r>
      <w:r w:rsidRPr="00E42152">
        <w:rPr>
          <w:rFonts w:ascii="Trebuchet MS" w:hAnsi="Trebuchet MS"/>
          <w:sz w:val="20"/>
          <w:szCs w:val="20"/>
        </w:rPr>
        <w:t xml:space="preserve">). The </w:t>
      </w:r>
      <w:r w:rsidR="00C43DCD" w:rsidRPr="00E42152">
        <w:rPr>
          <w:rFonts w:ascii="Trebuchet MS" w:hAnsi="Trebuchet MS"/>
          <w:sz w:val="20"/>
          <w:szCs w:val="20"/>
        </w:rPr>
        <w:t>planned financing of the above expenditure is as follows:</w:t>
      </w:r>
    </w:p>
    <w:p w14:paraId="7897BB82" w14:textId="06399CE8" w:rsidR="00C43DCD" w:rsidRPr="00E42152" w:rsidRDefault="00C43DCD" w:rsidP="000401F1">
      <w:pPr>
        <w:spacing w:after="200" w:line="276" w:lineRule="auto"/>
        <w:rPr>
          <w:rFonts w:ascii="Trebuchet MS" w:hAnsi="Trebuchet MS"/>
          <w:i/>
          <w:sz w:val="20"/>
          <w:szCs w:val="20"/>
        </w:rPr>
      </w:pPr>
      <w:r w:rsidRPr="00E42152">
        <w:rPr>
          <w:rFonts w:ascii="Trebuchet MS" w:hAnsi="Trebuchet MS"/>
          <w:i/>
          <w:sz w:val="20"/>
          <w:szCs w:val="20"/>
        </w:rPr>
        <w:t>Table 2: Capital financing</w:t>
      </w:r>
      <w:r w:rsidR="00083794">
        <w:rPr>
          <w:rFonts w:ascii="Trebuchet MS" w:hAnsi="Trebuchet MS"/>
          <w:i/>
          <w:sz w:val="20"/>
          <w:szCs w:val="20"/>
        </w:rPr>
        <w:t xml:space="preserve"> 2026/27 to 2029/30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3"/>
        <w:gridCol w:w="998"/>
        <w:gridCol w:w="998"/>
        <w:gridCol w:w="998"/>
        <w:gridCol w:w="998"/>
        <w:gridCol w:w="993"/>
      </w:tblGrid>
      <w:tr w:rsidR="00083794" w:rsidRPr="00E42152" w14:paraId="2FA304B9" w14:textId="77777777" w:rsidTr="00083794">
        <w:tc>
          <w:tcPr>
            <w:tcW w:w="0" w:type="auto"/>
          </w:tcPr>
          <w:p w14:paraId="126242A9" w14:textId="77777777" w:rsidR="00083794" w:rsidRPr="00E42152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5EA3FBD9" w14:textId="38E1D5E0" w:rsidR="00083794" w:rsidRPr="00E42152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2026/27</w:t>
            </w:r>
          </w:p>
        </w:tc>
        <w:tc>
          <w:tcPr>
            <w:tcW w:w="0" w:type="auto"/>
          </w:tcPr>
          <w:p w14:paraId="5401A559" w14:textId="2DC40763" w:rsidR="00083794" w:rsidRPr="00E42152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2027/28</w:t>
            </w:r>
          </w:p>
        </w:tc>
        <w:tc>
          <w:tcPr>
            <w:tcW w:w="0" w:type="auto"/>
          </w:tcPr>
          <w:p w14:paraId="5E31284A" w14:textId="6E15875D" w:rsidR="00083794" w:rsidRPr="00E42152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2028/29</w:t>
            </w:r>
          </w:p>
        </w:tc>
        <w:tc>
          <w:tcPr>
            <w:tcW w:w="0" w:type="auto"/>
          </w:tcPr>
          <w:p w14:paraId="1EE37A5F" w14:textId="7DC007D5" w:rsidR="00083794" w:rsidRPr="00E42152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2029/30</w:t>
            </w:r>
          </w:p>
        </w:tc>
        <w:tc>
          <w:tcPr>
            <w:tcW w:w="0" w:type="auto"/>
          </w:tcPr>
          <w:p w14:paraId="17DA6009" w14:textId="190FA11C" w:rsidR="00083794" w:rsidRPr="00E42152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Total</w:t>
            </w:r>
          </w:p>
        </w:tc>
      </w:tr>
      <w:tr w:rsidR="00083794" w:rsidRPr="00E42152" w14:paraId="7CD4920D" w14:textId="77777777" w:rsidTr="00083794">
        <w:tc>
          <w:tcPr>
            <w:tcW w:w="0" w:type="auto"/>
          </w:tcPr>
          <w:p w14:paraId="5499935E" w14:textId="77777777" w:rsidR="00083794" w:rsidRPr="00E42152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22B7715D" w14:textId="4AF96EB7" w:rsidR="00083794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7284CC0E" w14:textId="5E193187" w:rsidR="00083794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6B953C08" w14:textId="078DFA16" w:rsidR="00083794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572CDDFD" w14:textId="6CBFE300" w:rsidR="00083794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6F4D2014" w14:textId="4B0FAD75" w:rsidR="00083794" w:rsidRDefault="00083794" w:rsidP="00083794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</w:tr>
      <w:tr w:rsidR="00083794" w:rsidRPr="00E42152" w14:paraId="55026EC7" w14:textId="77777777" w:rsidTr="001E33AA">
        <w:tc>
          <w:tcPr>
            <w:tcW w:w="0" w:type="auto"/>
          </w:tcPr>
          <w:p w14:paraId="3EC90FDA" w14:textId="4BFFF2CC" w:rsidR="00083794" w:rsidRPr="00E7727C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E7727C">
              <w:rPr>
                <w:rFonts w:ascii="Trebuchet MS" w:hAnsi="Trebuchet MS"/>
                <w:sz w:val="20"/>
                <w:szCs w:val="20"/>
              </w:rPr>
              <w:t xml:space="preserve">Capital </w:t>
            </w:r>
            <w:r w:rsidRPr="00304F60">
              <w:rPr>
                <w:rFonts w:ascii="Trebuchet MS" w:hAnsi="Trebuchet MS"/>
                <w:sz w:val="20"/>
                <w:szCs w:val="20"/>
              </w:rPr>
              <w:t>receipts</w:t>
            </w:r>
          </w:p>
        </w:tc>
        <w:tc>
          <w:tcPr>
            <w:tcW w:w="0" w:type="auto"/>
            <w:vAlign w:val="center"/>
          </w:tcPr>
          <w:p w14:paraId="4271EE12" w14:textId="4CCD6351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0" w:type="auto"/>
            <w:vAlign w:val="center"/>
          </w:tcPr>
          <w:p w14:paraId="27C6F425" w14:textId="7371D920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0" w:type="auto"/>
            <w:vAlign w:val="center"/>
          </w:tcPr>
          <w:p w14:paraId="1690ED7C" w14:textId="2ADF9379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0" w:type="auto"/>
            <w:vAlign w:val="center"/>
          </w:tcPr>
          <w:p w14:paraId="50F370CF" w14:textId="74DCBC7C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63B88F9" w14:textId="79FB9A2A" w:rsidR="00083794" w:rsidRPr="00E42152" w:rsidRDefault="00713E0D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sz w:val="20"/>
                <w:szCs w:val="20"/>
              </w:rPr>
              <w:instrText xml:space="preserve"> =SUM(LEFT) </w:instrText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1.365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083794" w:rsidRPr="00E42152" w14:paraId="23A6154F" w14:textId="77777777" w:rsidTr="001E33AA">
        <w:tc>
          <w:tcPr>
            <w:tcW w:w="0" w:type="auto"/>
          </w:tcPr>
          <w:p w14:paraId="22C0C71E" w14:textId="6C2C5C22" w:rsidR="00083794" w:rsidRPr="00E7727C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E7727C">
              <w:rPr>
                <w:rFonts w:ascii="Trebuchet MS" w:hAnsi="Trebuchet MS"/>
                <w:sz w:val="20"/>
                <w:szCs w:val="20"/>
              </w:rPr>
              <w:t>Revenue resources</w:t>
            </w:r>
          </w:p>
        </w:tc>
        <w:tc>
          <w:tcPr>
            <w:tcW w:w="0" w:type="auto"/>
            <w:vAlign w:val="center"/>
          </w:tcPr>
          <w:p w14:paraId="58A37BCD" w14:textId="214AABB0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13.361</w:t>
            </w:r>
          </w:p>
        </w:tc>
        <w:tc>
          <w:tcPr>
            <w:tcW w:w="0" w:type="auto"/>
            <w:vAlign w:val="center"/>
          </w:tcPr>
          <w:p w14:paraId="12D14044" w14:textId="232742D2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12.638</w:t>
            </w:r>
          </w:p>
        </w:tc>
        <w:tc>
          <w:tcPr>
            <w:tcW w:w="0" w:type="auto"/>
            <w:vAlign w:val="center"/>
          </w:tcPr>
          <w:p w14:paraId="009B2D8D" w14:textId="600FD4BD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12.790</w:t>
            </w:r>
          </w:p>
        </w:tc>
        <w:tc>
          <w:tcPr>
            <w:tcW w:w="0" w:type="auto"/>
            <w:vAlign w:val="center"/>
          </w:tcPr>
          <w:p w14:paraId="5C2F1A37" w14:textId="606B6F31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12.490</w:t>
            </w:r>
          </w:p>
        </w:tc>
        <w:tc>
          <w:tcPr>
            <w:tcW w:w="0" w:type="auto"/>
          </w:tcPr>
          <w:p w14:paraId="160D9F54" w14:textId="151AA848" w:rsidR="00083794" w:rsidRPr="00FB05CB" w:rsidRDefault="00713E0D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sz w:val="20"/>
                <w:szCs w:val="20"/>
              </w:rPr>
              <w:instrText xml:space="preserve"> =SUM(left) </w:instrText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51.279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083794" w:rsidRPr="00E42152" w14:paraId="7BDE147E" w14:textId="77777777" w:rsidTr="001E33AA">
        <w:tc>
          <w:tcPr>
            <w:tcW w:w="0" w:type="auto"/>
          </w:tcPr>
          <w:p w14:paraId="5960BC95" w14:textId="384D0D81" w:rsidR="00083794" w:rsidRPr="00E42152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Borrowing</w:t>
            </w:r>
          </w:p>
        </w:tc>
        <w:tc>
          <w:tcPr>
            <w:tcW w:w="0" w:type="auto"/>
            <w:vAlign w:val="center"/>
          </w:tcPr>
          <w:p w14:paraId="6F2F765E" w14:textId="4A7B11CE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39.683</w:t>
            </w:r>
          </w:p>
        </w:tc>
        <w:tc>
          <w:tcPr>
            <w:tcW w:w="0" w:type="auto"/>
            <w:vAlign w:val="center"/>
          </w:tcPr>
          <w:p w14:paraId="0ADCF6FA" w14:textId="7DD080A5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51.753</w:t>
            </w:r>
          </w:p>
        </w:tc>
        <w:tc>
          <w:tcPr>
            <w:tcW w:w="0" w:type="auto"/>
            <w:vAlign w:val="center"/>
          </w:tcPr>
          <w:p w14:paraId="59FB8DFD" w14:textId="4680C73E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50.095</w:t>
            </w:r>
          </w:p>
        </w:tc>
        <w:tc>
          <w:tcPr>
            <w:tcW w:w="0" w:type="auto"/>
            <w:vAlign w:val="center"/>
          </w:tcPr>
          <w:p w14:paraId="22831374" w14:textId="23626A80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47.125</w:t>
            </w:r>
          </w:p>
        </w:tc>
        <w:tc>
          <w:tcPr>
            <w:tcW w:w="0" w:type="auto"/>
          </w:tcPr>
          <w:p w14:paraId="198E1C3D" w14:textId="61F788D6" w:rsidR="00083794" w:rsidRPr="00E42152" w:rsidRDefault="00713E0D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sz w:val="20"/>
                <w:szCs w:val="20"/>
              </w:rPr>
              <w:instrText xml:space="preserve"> =SUM(left) </w:instrText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188.656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083794" w:rsidRPr="00E42152" w14:paraId="01914D72" w14:textId="77777777" w:rsidTr="001E33AA">
        <w:tc>
          <w:tcPr>
            <w:tcW w:w="0" w:type="auto"/>
          </w:tcPr>
          <w:p w14:paraId="56B0E617" w14:textId="026E1CDA" w:rsidR="00083794" w:rsidRDefault="00083794" w:rsidP="00083794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Funding for ESN replacement</w:t>
            </w:r>
          </w:p>
        </w:tc>
        <w:tc>
          <w:tcPr>
            <w:tcW w:w="0" w:type="auto"/>
            <w:vAlign w:val="center"/>
          </w:tcPr>
          <w:p w14:paraId="5B77D612" w14:textId="119C7F7A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0" w:type="auto"/>
            <w:vAlign w:val="center"/>
          </w:tcPr>
          <w:p w14:paraId="1F5C68F3" w14:textId="3BD33008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0" w:type="auto"/>
            <w:vAlign w:val="center"/>
          </w:tcPr>
          <w:p w14:paraId="37330825" w14:textId="2FE66C0A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9.890</w:t>
            </w:r>
          </w:p>
        </w:tc>
        <w:tc>
          <w:tcPr>
            <w:tcW w:w="0" w:type="auto"/>
            <w:vAlign w:val="center"/>
          </w:tcPr>
          <w:p w14:paraId="3BCC536D" w14:textId="35CB79E6" w:rsidR="00083794" w:rsidRPr="00083794" w:rsidRDefault="00083794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83794">
              <w:rPr>
                <w:rFonts w:ascii="Trebuchet MS" w:hAnsi="Trebuchet MS" w:cs="Arial"/>
                <w:color w:val="000000"/>
                <w:sz w:val="20"/>
                <w:szCs w:val="20"/>
              </w:rPr>
              <w:t>5.963</w:t>
            </w:r>
          </w:p>
        </w:tc>
        <w:tc>
          <w:tcPr>
            <w:tcW w:w="0" w:type="auto"/>
          </w:tcPr>
          <w:p w14:paraId="28A94A3A" w14:textId="5FB247C2" w:rsidR="00083794" w:rsidRDefault="00713E0D" w:rsidP="00083794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/>
            </w:r>
            <w:r>
              <w:rPr>
                <w:rFonts w:ascii="Trebuchet MS" w:hAnsi="Trebuchet MS"/>
                <w:sz w:val="20"/>
                <w:szCs w:val="20"/>
              </w:rPr>
              <w:instrText xml:space="preserve"> =SUM(left) </w:instrText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16.168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083794" w:rsidRPr="00E42152" w14:paraId="33F30562" w14:textId="77777777" w:rsidTr="00713E0D">
        <w:tc>
          <w:tcPr>
            <w:tcW w:w="0" w:type="auto"/>
            <w:shd w:val="clear" w:color="auto" w:fill="D9E2F3" w:themeFill="accent1" w:themeFillTint="33"/>
          </w:tcPr>
          <w:p w14:paraId="11C518CB" w14:textId="77777777" w:rsidR="00083794" w:rsidRPr="00713E0D" w:rsidRDefault="00083794" w:rsidP="00083794">
            <w:pPr>
              <w:spacing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713E0D">
              <w:rPr>
                <w:rFonts w:ascii="Trebuchet MS" w:hAnsi="Trebuchet MS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154D054" w14:textId="518325AD" w:rsidR="00083794" w:rsidRPr="00713E0D" w:rsidRDefault="00713E0D" w:rsidP="00083794">
            <w:pPr>
              <w:spacing w:line="276" w:lineRule="auto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begin"/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instrText xml:space="preserve"> =SUM(ABOVE) </w:instrTex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Pr="00713E0D">
              <w:rPr>
                <w:rFonts w:ascii="Trebuchet MS" w:hAnsi="Trebuchet MS"/>
                <w:b/>
                <w:noProof/>
                <w:sz w:val="20"/>
                <w:szCs w:val="20"/>
              </w:rPr>
              <w:t>53.487</w: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DC90347" w14:textId="5CBDAD28" w:rsidR="00083794" w:rsidRPr="00713E0D" w:rsidRDefault="00713E0D" w:rsidP="00083794">
            <w:pPr>
              <w:spacing w:line="276" w:lineRule="auto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begin"/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instrText xml:space="preserve"> =SUM(ABOVE) </w:instrTex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Pr="00713E0D">
              <w:rPr>
                <w:rFonts w:ascii="Trebuchet MS" w:hAnsi="Trebuchet MS"/>
                <w:b/>
                <w:noProof/>
                <w:sz w:val="20"/>
                <w:szCs w:val="20"/>
              </w:rPr>
              <w:t>65.128</w: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38F8FAF" w14:textId="5246362B" w:rsidR="00083794" w:rsidRPr="00713E0D" w:rsidRDefault="00713E0D" w:rsidP="00083794">
            <w:pPr>
              <w:spacing w:line="276" w:lineRule="auto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begin"/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instrText xml:space="preserve"> =SUM(ABOVE) </w:instrTex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Pr="00713E0D">
              <w:rPr>
                <w:rFonts w:ascii="Trebuchet MS" w:hAnsi="Trebuchet MS"/>
                <w:b/>
                <w:noProof/>
                <w:sz w:val="20"/>
                <w:szCs w:val="20"/>
              </w:rPr>
              <w:t>73.275</w: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5882510" w14:textId="4CF5D3A9" w:rsidR="00083794" w:rsidRPr="00713E0D" w:rsidRDefault="00713E0D" w:rsidP="00083794">
            <w:pPr>
              <w:spacing w:line="276" w:lineRule="auto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begin"/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instrText xml:space="preserve"> =SUM(ABOVE) </w:instrTex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Pr="00713E0D">
              <w:rPr>
                <w:rFonts w:ascii="Trebuchet MS" w:hAnsi="Trebuchet MS"/>
                <w:b/>
                <w:noProof/>
                <w:sz w:val="20"/>
                <w:szCs w:val="20"/>
              </w:rPr>
              <w:t>65.578</w: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3028D4A" w14:textId="264D5180" w:rsidR="00083794" w:rsidRPr="00713E0D" w:rsidRDefault="00713E0D" w:rsidP="00083794">
            <w:pPr>
              <w:spacing w:line="276" w:lineRule="auto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begin"/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instrText xml:space="preserve"> =SUM(ABOVE) </w:instrTex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Pr="00713E0D">
              <w:rPr>
                <w:rFonts w:ascii="Trebuchet MS" w:hAnsi="Trebuchet MS"/>
                <w:b/>
                <w:noProof/>
                <w:sz w:val="20"/>
                <w:szCs w:val="20"/>
              </w:rPr>
              <w:t>257.468</w:t>
            </w:r>
            <w:r w:rsidRPr="00713E0D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</w:p>
        </w:tc>
      </w:tr>
    </w:tbl>
    <w:p w14:paraId="2402D0C4" w14:textId="77777777" w:rsidR="00902CDE" w:rsidRDefault="00902CDE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</w:p>
    <w:p w14:paraId="0B687D80" w14:textId="2550F17B" w:rsidR="00736DD3" w:rsidRPr="0002108E" w:rsidRDefault="000E3E78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Borrowing</w:t>
      </w:r>
      <w:r w:rsidR="006D7784" w:rsidRPr="00E42152">
        <w:rPr>
          <w:rFonts w:ascii="Trebuchet MS" w:hAnsi="Trebuchet MS"/>
          <w:sz w:val="20"/>
          <w:szCs w:val="20"/>
        </w:rPr>
        <w:t xml:space="preserve"> is only a temporary source of finance, since loans and leases must be repaid, and this is therefore replaced over time by other financing, usually from revenue which is known as </w:t>
      </w:r>
      <w:r>
        <w:rPr>
          <w:rFonts w:ascii="Trebuchet MS" w:hAnsi="Trebuchet MS"/>
          <w:sz w:val="20"/>
          <w:szCs w:val="20"/>
        </w:rPr>
        <w:t>M</w:t>
      </w:r>
      <w:r w:rsidR="006D7784" w:rsidRPr="00C126B4">
        <w:rPr>
          <w:rFonts w:ascii="Trebuchet MS" w:hAnsi="Trebuchet MS"/>
          <w:sz w:val="20"/>
          <w:szCs w:val="20"/>
        </w:rPr>
        <w:t xml:space="preserve">inimum </w:t>
      </w:r>
      <w:r>
        <w:rPr>
          <w:rFonts w:ascii="Trebuchet MS" w:hAnsi="Trebuchet MS"/>
          <w:sz w:val="20"/>
          <w:szCs w:val="20"/>
        </w:rPr>
        <w:t>R</w:t>
      </w:r>
      <w:r w:rsidR="006D7784" w:rsidRPr="00C126B4">
        <w:rPr>
          <w:rFonts w:ascii="Trebuchet MS" w:hAnsi="Trebuchet MS"/>
          <w:sz w:val="20"/>
          <w:szCs w:val="20"/>
        </w:rPr>
        <w:t xml:space="preserve">evenue </w:t>
      </w:r>
      <w:r>
        <w:rPr>
          <w:rFonts w:ascii="Trebuchet MS" w:hAnsi="Trebuchet MS"/>
          <w:sz w:val="20"/>
          <w:szCs w:val="20"/>
        </w:rPr>
        <w:t>P</w:t>
      </w:r>
      <w:r w:rsidR="006D7784" w:rsidRPr="00C126B4">
        <w:rPr>
          <w:rFonts w:ascii="Trebuchet MS" w:hAnsi="Trebuchet MS"/>
          <w:sz w:val="20"/>
          <w:szCs w:val="20"/>
        </w:rPr>
        <w:t>rovision</w:t>
      </w:r>
      <w:r w:rsidR="00C43DCD" w:rsidRPr="00C126B4">
        <w:rPr>
          <w:rFonts w:ascii="Trebuchet MS" w:hAnsi="Trebuchet MS"/>
          <w:sz w:val="20"/>
          <w:szCs w:val="20"/>
        </w:rPr>
        <w:t xml:space="preserve"> (MRP)</w:t>
      </w:r>
      <w:r w:rsidR="006D7784" w:rsidRPr="00C126B4">
        <w:rPr>
          <w:rFonts w:ascii="Trebuchet MS" w:hAnsi="Trebuchet MS"/>
          <w:sz w:val="20"/>
          <w:szCs w:val="20"/>
        </w:rPr>
        <w:t>.</w:t>
      </w:r>
      <w:r w:rsidR="00C43DCD" w:rsidRPr="00C126B4">
        <w:rPr>
          <w:rFonts w:ascii="Trebuchet MS" w:hAnsi="Trebuchet MS"/>
          <w:sz w:val="20"/>
          <w:szCs w:val="20"/>
        </w:rPr>
        <w:t xml:space="preserve"> Alternatively</w:t>
      </w:r>
      <w:r w:rsidR="00C43DCD" w:rsidRPr="00E42152">
        <w:rPr>
          <w:rFonts w:ascii="Trebuchet MS" w:hAnsi="Trebuchet MS"/>
          <w:sz w:val="20"/>
          <w:szCs w:val="20"/>
        </w:rPr>
        <w:t xml:space="preserve">, proceeds from selling capital assets (known as capital receipts) may be used to replace debt finance. Planned </w:t>
      </w:r>
      <w:r w:rsidR="00C43DCD" w:rsidRPr="00C126B4">
        <w:rPr>
          <w:rFonts w:ascii="Trebuchet MS" w:hAnsi="Trebuchet MS"/>
          <w:sz w:val="20"/>
          <w:szCs w:val="20"/>
        </w:rPr>
        <w:t>MRP a</w:t>
      </w:r>
      <w:r w:rsidR="00C43DCD" w:rsidRPr="00E42152">
        <w:rPr>
          <w:rFonts w:ascii="Trebuchet MS" w:hAnsi="Trebuchet MS"/>
          <w:sz w:val="20"/>
          <w:szCs w:val="20"/>
        </w:rPr>
        <w:t>nd use of capital rece</w:t>
      </w:r>
      <w:r w:rsidR="00C43DCD" w:rsidRPr="0002108E">
        <w:rPr>
          <w:rFonts w:ascii="Trebuchet MS" w:hAnsi="Trebuchet MS"/>
          <w:sz w:val="20"/>
          <w:szCs w:val="20"/>
        </w:rPr>
        <w:t xml:space="preserve">ipts </w:t>
      </w:r>
      <w:r w:rsidR="00311CF9" w:rsidRPr="0002108E">
        <w:rPr>
          <w:rFonts w:ascii="Trebuchet MS" w:hAnsi="Trebuchet MS"/>
          <w:sz w:val="20"/>
          <w:szCs w:val="20"/>
        </w:rPr>
        <w:t>are</w:t>
      </w:r>
      <w:r w:rsidR="00C43DCD" w:rsidRPr="0002108E">
        <w:rPr>
          <w:rFonts w:ascii="Trebuchet MS" w:hAnsi="Trebuchet MS"/>
          <w:sz w:val="20"/>
          <w:szCs w:val="20"/>
        </w:rPr>
        <w:t xml:space="preserve"> as follows:</w:t>
      </w:r>
    </w:p>
    <w:p w14:paraId="68E93EE0" w14:textId="58605BBD" w:rsidR="00C43DCD" w:rsidRPr="0002108E" w:rsidRDefault="00C43DCD" w:rsidP="00713E0D">
      <w:pPr>
        <w:spacing w:after="200" w:line="276" w:lineRule="auto"/>
        <w:rPr>
          <w:rFonts w:ascii="Trebuchet MS" w:hAnsi="Trebuchet MS"/>
          <w:i/>
          <w:sz w:val="20"/>
          <w:szCs w:val="20"/>
        </w:rPr>
      </w:pPr>
      <w:r w:rsidRPr="0002108E">
        <w:rPr>
          <w:rFonts w:ascii="Trebuchet MS" w:hAnsi="Trebuchet MS"/>
          <w:i/>
          <w:sz w:val="20"/>
          <w:szCs w:val="20"/>
        </w:rPr>
        <w:t xml:space="preserve">Table 3: Replacement of </w:t>
      </w:r>
      <w:r w:rsidR="00E7727C" w:rsidRPr="0002108E">
        <w:rPr>
          <w:rFonts w:ascii="Trebuchet MS" w:hAnsi="Trebuchet MS"/>
          <w:i/>
          <w:sz w:val="20"/>
          <w:szCs w:val="20"/>
        </w:rPr>
        <w:t xml:space="preserve">prior years’ </w:t>
      </w:r>
      <w:r w:rsidRPr="0002108E">
        <w:rPr>
          <w:rFonts w:ascii="Trebuchet MS" w:hAnsi="Trebuchet MS"/>
          <w:i/>
          <w:sz w:val="20"/>
          <w:szCs w:val="20"/>
        </w:rPr>
        <w:t>debt finance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7"/>
        <w:gridCol w:w="998"/>
        <w:gridCol w:w="998"/>
        <w:gridCol w:w="998"/>
        <w:gridCol w:w="998"/>
      </w:tblGrid>
      <w:tr w:rsidR="0002108E" w:rsidRPr="000E3E78" w14:paraId="1AE30A39" w14:textId="2714DF4A" w:rsidTr="0002108E">
        <w:tc>
          <w:tcPr>
            <w:tcW w:w="0" w:type="auto"/>
          </w:tcPr>
          <w:p w14:paraId="535CEC7D" w14:textId="77777777" w:rsidR="0002108E" w:rsidRPr="005217BB" w:rsidRDefault="0002108E" w:rsidP="0002108E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14:paraId="2EE956F2" w14:textId="58FA871A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2026/27</w:t>
            </w:r>
          </w:p>
        </w:tc>
        <w:tc>
          <w:tcPr>
            <w:tcW w:w="0" w:type="auto"/>
          </w:tcPr>
          <w:p w14:paraId="48B94C18" w14:textId="7941F48A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2027/28</w:t>
            </w:r>
          </w:p>
        </w:tc>
        <w:tc>
          <w:tcPr>
            <w:tcW w:w="0" w:type="auto"/>
          </w:tcPr>
          <w:p w14:paraId="07A907D1" w14:textId="68081FB5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2028/29</w:t>
            </w:r>
          </w:p>
        </w:tc>
        <w:tc>
          <w:tcPr>
            <w:tcW w:w="0" w:type="auto"/>
          </w:tcPr>
          <w:p w14:paraId="7A9DA142" w14:textId="3B0129EB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2029/30</w:t>
            </w:r>
          </w:p>
        </w:tc>
      </w:tr>
      <w:tr w:rsidR="0002108E" w:rsidRPr="000E3E78" w14:paraId="6F5B5313" w14:textId="77777777" w:rsidTr="0002108E">
        <w:tc>
          <w:tcPr>
            <w:tcW w:w="0" w:type="auto"/>
          </w:tcPr>
          <w:p w14:paraId="5280482F" w14:textId="77777777" w:rsidR="0002108E" w:rsidRPr="005217BB" w:rsidRDefault="0002108E" w:rsidP="0002108E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1E5E0D5D" w14:textId="41119CD0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19337DE8" w14:textId="5BB9B466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6771EDF1" w14:textId="7E4A88EA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18C22D64" w14:textId="0C736D60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</w:tr>
      <w:tr w:rsidR="0002108E" w:rsidRPr="000E3E78" w14:paraId="5ABC22AD" w14:textId="7650769B" w:rsidTr="0002108E">
        <w:tc>
          <w:tcPr>
            <w:tcW w:w="0" w:type="auto"/>
          </w:tcPr>
          <w:p w14:paraId="130BE31C" w14:textId="14F9D4FE" w:rsidR="0002108E" w:rsidRPr="005217BB" w:rsidRDefault="0002108E" w:rsidP="0002108E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hAnsi="Trebuchet MS"/>
                <w:sz w:val="20"/>
                <w:szCs w:val="20"/>
              </w:rPr>
              <w:t>Minimum Revenue Provision (MRP)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457B4" w14:textId="74491AFB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hAnsi="Trebuchet MS" w:cs="Arial"/>
                <w:color w:val="000000"/>
                <w:sz w:val="20"/>
                <w:szCs w:val="20"/>
              </w:rPr>
              <w:t>2.498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56684" w14:textId="2BD7158A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hAnsi="Trebuchet MS" w:cs="Arial"/>
                <w:color w:val="000000"/>
                <w:sz w:val="20"/>
                <w:szCs w:val="20"/>
              </w:rPr>
              <w:t>3.509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A8C6C" w14:textId="510FD289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hAnsi="Trebuchet MS" w:cs="Arial"/>
                <w:color w:val="000000"/>
                <w:sz w:val="20"/>
                <w:szCs w:val="20"/>
              </w:rPr>
              <w:t>3.958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A0D75" w14:textId="6BF81327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4.478</w:t>
            </w:r>
          </w:p>
        </w:tc>
      </w:tr>
      <w:tr w:rsidR="0002108E" w:rsidRPr="000E3E78" w14:paraId="0BE475D6" w14:textId="77777777" w:rsidTr="0002108E">
        <w:tc>
          <w:tcPr>
            <w:tcW w:w="0" w:type="auto"/>
          </w:tcPr>
          <w:p w14:paraId="2AFD86D0" w14:textId="0BA42408" w:rsidR="0002108E" w:rsidRPr="005217BB" w:rsidRDefault="0002108E" w:rsidP="0002108E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hAnsi="Trebuchet MS"/>
                <w:sz w:val="20"/>
                <w:szCs w:val="20"/>
              </w:rPr>
              <w:t>Capital receipts</w:t>
            </w:r>
          </w:p>
        </w:tc>
        <w:tc>
          <w:tcPr>
            <w:tcW w:w="0" w:type="auto"/>
            <w:vAlign w:val="center"/>
          </w:tcPr>
          <w:p w14:paraId="5B299D4C" w14:textId="0F988CC7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hAnsi="Trebuchet MS" w:cs="Arial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0" w:type="auto"/>
            <w:vAlign w:val="center"/>
          </w:tcPr>
          <w:p w14:paraId="66844E3D" w14:textId="1DB5BAA2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hAnsi="Trebuchet MS" w:cs="Arial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0" w:type="auto"/>
            <w:vAlign w:val="center"/>
          </w:tcPr>
          <w:p w14:paraId="7CBA6DFF" w14:textId="3CC71499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hAnsi="Trebuchet MS" w:cs="Arial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0" w:type="auto"/>
            <w:vAlign w:val="center"/>
          </w:tcPr>
          <w:p w14:paraId="171AC8CC" w14:textId="6199E3DB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5217BB">
              <w:rPr>
                <w:rFonts w:ascii="Trebuchet MS" w:hAnsi="Trebuchet MS" w:cs="Arial"/>
                <w:color w:val="000000"/>
                <w:sz w:val="20"/>
                <w:szCs w:val="20"/>
              </w:rPr>
              <w:t>0</w:t>
            </w:r>
          </w:p>
        </w:tc>
      </w:tr>
      <w:tr w:rsidR="0002108E" w:rsidRPr="00C55AA6" w14:paraId="23557440" w14:textId="77777777" w:rsidTr="005217BB">
        <w:tc>
          <w:tcPr>
            <w:tcW w:w="0" w:type="auto"/>
          </w:tcPr>
          <w:p w14:paraId="7432EF41" w14:textId="470A4E4B" w:rsidR="0002108E" w:rsidRPr="005217BB" w:rsidRDefault="0002108E" w:rsidP="0002108E">
            <w:pPr>
              <w:spacing w:before="60" w:after="60" w:line="27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14:paraId="61117ED5" w14:textId="67110B35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=SUM(ABOVE) </w:instrText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Pr="005217BB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2.778</w:t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773B92B5" w14:textId="0681CCEF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=SUM(ABOVE) </w:instrText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Pr="005217BB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4.094</w:t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43782815" w14:textId="2DD84588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=SUM(ABOVE) </w:instrText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Pr="005217BB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4.458</w:t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73A6910E" w14:textId="4D6F21C8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=SUM(ABOVE) </w:instrText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Pr="005217BB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4.478</w:t>
            </w:r>
            <w:r w:rsidRPr="005217B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BD26690" w14:textId="77777777" w:rsidR="006C3C8A" w:rsidRPr="00C55AA6" w:rsidRDefault="006C3C8A" w:rsidP="00311CF9">
      <w:pPr>
        <w:spacing w:after="0" w:line="276" w:lineRule="auto"/>
        <w:ind w:left="357"/>
        <w:rPr>
          <w:rFonts w:ascii="Trebuchet MS" w:hAnsi="Trebuchet MS"/>
          <w:sz w:val="20"/>
          <w:szCs w:val="20"/>
        </w:rPr>
      </w:pPr>
    </w:p>
    <w:p w14:paraId="2E6DD9BB" w14:textId="4B71A19C" w:rsidR="00F82F97" w:rsidRPr="00C55AA6" w:rsidRDefault="00F82F97" w:rsidP="000E3E78">
      <w:pPr>
        <w:pStyle w:val="ListParagraph"/>
        <w:numPr>
          <w:ilvl w:val="0"/>
          <w:numId w:val="1"/>
        </w:numPr>
        <w:spacing w:after="200" w:line="276" w:lineRule="auto"/>
        <w:ind w:left="1080"/>
        <w:jc w:val="both"/>
        <w:rPr>
          <w:rFonts w:ascii="Trebuchet MS" w:hAnsi="Trebuchet MS"/>
          <w:sz w:val="20"/>
          <w:szCs w:val="20"/>
        </w:rPr>
      </w:pPr>
      <w:r w:rsidRPr="00C55AA6">
        <w:rPr>
          <w:rFonts w:ascii="Trebuchet MS" w:hAnsi="Trebuchet MS"/>
          <w:sz w:val="20"/>
          <w:szCs w:val="20"/>
        </w:rPr>
        <w:t xml:space="preserve">The </w:t>
      </w:r>
      <w:r w:rsidR="008E3BE3" w:rsidRPr="00C55AA6">
        <w:rPr>
          <w:rFonts w:ascii="Trebuchet MS" w:hAnsi="Trebuchet MS"/>
          <w:sz w:val="20"/>
          <w:szCs w:val="20"/>
        </w:rPr>
        <w:t>Authority</w:t>
      </w:r>
      <w:r w:rsidRPr="00C55AA6">
        <w:rPr>
          <w:rFonts w:ascii="Trebuchet MS" w:hAnsi="Trebuchet MS"/>
          <w:sz w:val="20"/>
          <w:szCs w:val="20"/>
        </w:rPr>
        <w:t xml:space="preserve">’s </w:t>
      </w:r>
      <w:r w:rsidR="000E3E78">
        <w:rPr>
          <w:rFonts w:ascii="Trebuchet MS" w:hAnsi="Trebuchet MS"/>
          <w:sz w:val="20"/>
          <w:szCs w:val="20"/>
        </w:rPr>
        <w:t>M</w:t>
      </w:r>
      <w:r w:rsidRPr="00C55AA6">
        <w:rPr>
          <w:rFonts w:ascii="Trebuchet MS" w:hAnsi="Trebuchet MS"/>
          <w:sz w:val="20"/>
          <w:szCs w:val="20"/>
        </w:rPr>
        <w:t xml:space="preserve">inimum </w:t>
      </w:r>
      <w:r w:rsidR="000E3E78">
        <w:rPr>
          <w:rFonts w:ascii="Trebuchet MS" w:hAnsi="Trebuchet MS"/>
          <w:sz w:val="20"/>
          <w:szCs w:val="20"/>
        </w:rPr>
        <w:t>R</w:t>
      </w:r>
      <w:r w:rsidRPr="00C55AA6">
        <w:rPr>
          <w:rFonts w:ascii="Trebuchet MS" w:hAnsi="Trebuchet MS"/>
          <w:sz w:val="20"/>
          <w:szCs w:val="20"/>
        </w:rPr>
        <w:t xml:space="preserve">evenue </w:t>
      </w:r>
      <w:r w:rsidR="000E3E78">
        <w:rPr>
          <w:rFonts w:ascii="Trebuchet MS" w:hAnsi="Trebuchet MS"/>
          <w:sz w:val="20"/>
          <w:szCs w:val="20"/>
        </w:rPr>
        <w:t>P</w:t>
      </w:r>
      <w:r w:rsidRPr="00C55AA6">
        <w:rPr>
          <w:rFonts w:ascii="Trebuchet MS" w:hAnsi="Trebuchet MS"/>
          <w:sz w:val="20"/>
          <w:szCs w:val="20"/>
        </w:rPr>
        <w:t>rovision</w:t>
      </w:r>
      <w:r w:rsidR="004B3130" w:rsidRPr="00C55AA6">
        <w:rPr>
          <w:rFonts w:ascii="Trebuchet MS" w:hAnsi="Trebuchet MS"/>
          <w:sz w:val="20"/>
          <w:szCs w:val="20"/>
        </w:rPr>
        <w:t xml:space="preserve"> </w:t>
      </w:r>
      <w:r w:rsidR="00DE3655" w:rsidRPr="00C55AA6">
        <w:rPr>
          <w:rFonts w:ascii="Trebuchet MS" w:hAnsi="Trebuchet MS"/>
          <w:sz w:val="20"/>
          <w:szCs w:val="20"/>
        </w:rPr>
        <w:t xml:space="preserve">statement </w:t>
      </w:r>
      <w:r w:rsidRPr="00C55AA6">
        <w:rPr>
          <w:rFonts w:ascii="Trebuchet MS" w:hAnsi="Trebuchet MS"/>
          <w:sz w:val="20"/>
          <w:szCs w:val="20"/>
        </w:rPr>
        <w:t xml:space="preserve">is available here: </w:t>
      </w:r>
      <w:hyperlink r:id="rId10" w:history="1">
        <w:r w:rsidR="00C55AA6">
          <w:rPr>
            <w:rStyle w:val="Hyperlink"/>
            <w:rFonts w:ascii="Trebuchet MS" w:hAnsi="Trebuchet MS"/>
            <w:sz w:val="20"/>
            <w:szCs w:val="20"/>
          </w:rPr>
          <w:t>PCC Financial Strategy</w:t>
        </w:r>
      </w:hyperlink>
      <w:r w:rsidR="00C55AA6" w:rsidRPr="00C55AA6">
        <w:rPr>
          <w:rFonts w:ascii="Trebuchet MS" w:hAnsi="Trebuchet MS"/>
          <w:sz w:val="20"/>
          <w:szCs w:val="20"/>
        </w:rPr>
        <w:t xml:space="preserve"> </w:t>
      </w:r>
    </w:p>
    <w:p w14:paraId="1AC1CB0D" w14:textId="03F70EA1" w:rsidR="00C43DCD" w:rsidRPr="0002108E" w:rsidRDefault="00C43DCD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E42152">
        <w:rPr>
          <w:rFonts w:ascii="Trebuchet MS" w:hAnsi="Trebuchet MS"/>
          <w:sz w:val="20"/>
          <w:szCs w:val="20"/>
        </w:rPr>
        <w:t xml:space="preserve">The </w:t>
      </w:r>
      <w:r w:rsidR="008E3BE3">
        <w:rPr>
          <w:rFonts w:ascii="Trebuchet MS" w:hAnsi="Trebuchet MS"/>
          <w:sz w:val="20"/>
          <w:szCs w:val="20"/>
        </w:rPr>
        <w:t>Authority</w:t>
      </w:r>
      <w:r w:rsidRPr="00E42152">
        <w:rPr>
          <w:rFonts w:ascii="Trebuchet MS" w:hAnsi="Trebuchet MS"/>
          <w:sz w:val="20"/>
          <w:szCs w:val="20"/>
        </w:rPr>
        <w:t xml:space="preserve">’s cumulative outstanding amount of debt finance is measured by the capital financing requirement (CFR). This increases with new debt-financed capital expenditure </w:t>
      </w:r>
      <w:r w:rsidRPr="00885A30">
        <w:rPr>
          <w:rFonts w:ascii="Trebuchet MS" w:hAnsi="Trebuchet MS"/>
          <w:sz w:val="20"/>
          <w:szCs w:val="20"/>
        </w:rPr>
        <w:t xml:space="preserve">and reduces with </w:t>
      </w:r>
      <w:proofErr w:type="gramStart"/>
      <w:r w:rsidRPr="00885A30">
        <w:rPr>
          <w:rFonts w:ascii="Trebuchet MS" w:hAnsi="Trebuchet MS"/>
          <w:sz w:val="20"/>
          <w:szCs w:val="20"/>
        </w:rPr>
        <w:t>MRP</w:t>
      </w:r>
      <w:proofErr w:type="gramEnd"/>
      <w:r w:rsidRPr="00885A30">
        <w:rPr>
          <w:rFonts w:ascii="Trebuchet MS" w:hAnsi="Trebuchet MS"/>
          <w:sz w:val="20"/>
          <w:szCs w:val="20"/>
        </w:rPr>
        <w:t xml:space="preserve"> and capital receipts used to replace debt. </w:t>
      </w:r>
      <w:r w:rsidR="005662A0" w:rsidRPr="00885A30">
        <w:rPr>
          <w:rFonts w:ascii="Trebuchet MS" w:hAnsi="Trebuchet MS"/>
          <w:sz w:val="20"/>
          <w:szCs w:val="20"/>
        </w:rPr>
        <w:t xml:space="preserve">The </w:t>
      </w:r>
      <w:r w:rsidR="005662A0" w:rsidRPr="00E42152">
        <w:rPr>
          <w:rFonts w:ascii="Trebuchet MS" w:hAnsi="Trebuchet MS"/>
          <w:sz w:val="20"/>
          <w:szCs w:val="20"/>
        </w:rPr>
        <w:t xml:space="preserve">CFR is expected to </w:t>
      </w:r>
      <w:r w:rsidR="005662A0" w:rsidRPr="00F54721">
        <w:rPr>
          <w:rFonts w:ascii="Trebuchet MS" w:hAnsi="Trebuchet MS"/>
          <w:sz w:val="20"/>
          <w:szCs w:val="20"/>
        </w:rPr>
        <w:t>increase by £</w:t>
      </w:r>
      <w:r w:rsidR="00F54721" w:rsidRPr="00F54721">
        <w:rPr>
          <w:rFonts w:ascii="Trebuchet MS" w:hAnsi="Trebuchet MS"/>
          <w:sz w:val="20"/>
          <w:szCs w:val="20"/>
        </w:rPr>
        <w:t>48.253m</w:t>
      </w:r>
      <w:r w:rsidR="005662A0" w:rsidRPr="00F54721">
        <w:rPr>
          <w:rFonts w:ascii="Trebuchet MS" w:hAnsi="Trebuchet MS"/>
          <w:sz w:val="20"/>
          <w:szCs w:val="20"/>
        </w:rPr>
        <w:t xml:space="preserve"> </w:t>
      </w:r>
      <w:r w:rsidR="005662A0" w:rsidRPr="00E42152">
        <w:rPr>
          <w:rFonts w:ascii="Trebuchet MS" w:hAnsi="Trebuchet MS"/>
          <w:sz w:val="20"/>
          <w:szCs w:val="20"/>
        </w:rPr>
        <w:t xml:space="preserve">during </w:t>
      </w:r>
      <w:r w:rsidR="00792A82">
        <w:rPr>
          <w:rFonts w:ascii="Trebuchet MS" w:hAnsi="Trebuchet MS"/>
          <w:sz w:val="20"/>
          <w:szCs w:val="20"/>
        </w:rPr>
        <w:t>202</w:t>
      </w:r>
      <w:r w:rsidR="00804632">
        <w:rPr>
          <w:rFonts w:ascii="Trebuchet MS" w:hAnsi="Trebuchet MS"/>
          <w:sz w:val="20"/>
          <w:szCs w:val="20"/>
        </w:rPr>
        <w:t>5</w:t>
      </w:r>
      <w:r w:rsidR="00AA5518">
        <w:rPr>
          <w:rFonts w:ascii="Trebuchet MS" w:hAnsi="Trebuchet MS"/>
          <w:sz w:val="20"/>
          <w:szCs w:val="20"/>
        </w:rPr>
        <w:t>/2</w:t>
      </w:r>
      <w:r w:rsidR="00804632">
        <w:rPr>
          <w:rFonts w:ascii="Trebuchet MS" w:hAnsi="Trebuchet MS"/>
          <w:sz w:val="20"/>
          <w:szCs w:val="20"/>
        </w:rPr>
        <w:t>6</w:t>
      </w:r>
      <w:r w:rsidR="00CD462C" w:rsidRPr="00E42152">
        <w:rPr>
          <w:rFonts w:ascii="Trebuchet MS" w:hAnsi="Trebuchet MS"/>
          <w:sz w:val="20"/>
          <w:szCs w:val="20"/>
        </w:rPr>
        <w:t xml:space="preserve">. </w:t>
      </w:r>
      <w:r w:rsidRPr="00E42152">
        <w:rPr>
          <w:rFonts w:ascii="Trebuchet MS" w:hAnsi="Trebuchet MS"/>
          <w:sz w:val="20"/>
          <w:szCs w:val="20"/>
        </w:rPr>
        <w:t>Based on the above figures</w:t>
      </w:r>
      <w:r w:rsidR="00EB6518" w:rsidRPr="00E42152">
        <w:rPr>
          <w:rFonts w:ascii="Trebuchet MS" w:hAnsi="Trebuchet MS"/>
          <w:sz w:val="20"/>
          <w:szCs w:val="20"/>
        </w:rPr>
        <w:t xml:space="preserve"> for expenditure and financing</w:t>
      </w:r>
      <w:r w:rsidRPr="00E42152">
        <w:rPr>
          <w:rFonts w:ascii="Trebuchet MS" w:hAnsi="Trebuchet MS"/>
          <w:sz w:val="20"/>
          <w:szCs w:val="20"/>
        </w:rPr>
        <w:t xml:space="preserve">, the </w:t>
      </w:r>
      <w:r w:rsidR="008E3BE3">
        <w:rPr>
          <w:rFonts w:ascii="Trebuchet MS" w:hAnsi="Trebuchet MS"/>
          <w:sz w:val="20"/>
          <w:szCs w:val="20"/>
        </w:rPr>
        <w:t>Authority</w:t>
      </w:r>
      <w:r w:rsidRPr="00E42152">
        <w:rPr>
          <w:rFonts w:ascii="Trebuchet MS" w:hAnsi="Trebuchet MS"/>
          <w:sz w:val="20"/>
          <w:szCs w:val="20"/>
        </w:rPr>
        <w:t>’s estima</w:t>
      </w:r>
      <w:r w:rsidRPr="0002108E">
        <w:rPr>
          <w:rFonts w:ascii="Trebuchet MS" w:hAnsi="Trebuchet MS"/>
          <w:sz w:val="20"/>
          <w:szCs w:val="20"/>
        </w:rPr>
        <w:t>ted CFR is as follows:</w:t>
      </w:r>
    </w:p>
    <w:p w14:paraId="54CBF3C3" w14:textId="55B1712E" w:rsidR="00C43DCD" w:rsidRPr="0002108E" w:rsidRDefault="00C43DCD" w:rsidP="00713E0D">
      <w:pPr>
        <w:spacing w:after="200" w:line="276" w:lineRule="auto"/>
        <w:rPr>
          <w:rFonts w:ascii="Trebuchet MS" w:hAnsi="Trebuchet MS"/>
          <w:i/>
          <w:sz w:val="20"/>
          <w:szCs w:val="20"/>
        </w:rPr>
      </w:pPr>
      <w:r w:rsidRPr="0002108E">
        <w:rPr>
          <w:rFonts w:ascii="Trebuchet MS" w:hAnsi="Trebuchet MS"/>
          <w:i/>
          <w:sz w:val="20"/>
          <w:szCs w:val="20"/>
        </w:rPr>
        <w:t>Table 4: Prudential Indicator: Estimates of Capital Financing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7"/>
        <w:gridCol w:w="998"/>
        <w:gridCol w:w="998"/>
        <w:gridCol w:w="998"/>
        <w:gridCol w:w="998"/>
      </w:tblGrid>
      <w:tr w:rsidR="0002108E" w:rsidRPr="000E3E78" w14:paraId="40C670A1" w14:textId="77777777" w:rsidTr="0002108E">
        <w:tc>
          <w:tcPr>
            <w:tcW w:w="0" w:type="auto"/>
          </w:tcPr>
          <w:p w14:paraId="33FDBED8" w14:textId="77777777" w:rsidR="0002108E" w:rsidRPr="005217BB" w:rsidRDefault="0002108E" w:rsidP="0002108E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14:paraId="288F4521" w14:textId="1885385C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2026/27</w:t>
            </w:r>
          </w:p>
        </w:tc>
        <w:tc>
          <w:tcPr>
            <w:tcW w:w="0" w:type="auto"/>
          </w:tcPr>
          <w:p w14:paraId="1B5BC29B" w14:textId="448C1436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2027/28</w:t>
            </w:r>
          </w:p>
        </w:tc>
        <w:tc>
          <w:tcPr>
            <w:tcW w:w="0" w:type="auto"/>
          </w:tcPr>
          <w:p w14:paraId="2A456FF4" w14:textId="35092925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2028/29</w:t>
            </w:r>
          </w:p>
        </w:tc>
        <w:tc>
          <w:tcPr>
            <w:tcW w:w="0" w:type="auto"/>
          </w:tcPr>
          <w:p w14:paraId="44E4AD98" w14:textId="27DED8FD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2029/30</w:t>
            </w:r>
          </w:p>
        </w:tc>
      </w:tr>
      <w:tr w:rsidR="0002108E" w:rsidRPr="000E3E78" w14:paraId="7D53D8F7" w14:textId="77777777" w:rsidTr="0002108E">
        <w:tc>
          <w:tcPr>
            <w:tcW w:w="0" w:type="auto"/>
          </w:tcPr>
          <w:p w14:paraId="717CACC3" w14:textId="77777777" w:rsidR="0002108E" w:rsidRPr="005217BB" w:rsidRDefault="0002108E" w:rsidP="0002108E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14:paraId="56FCA229" w14:textId="2B372A5E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34E5D955" w14:textId="7E61246C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70CF74EE" w14:textId="6FBF3FFD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  <w:tc>
          <w:tcPr>
            <w:tcW w:w="0" w:type="auto"/>
          </w:tcPr>
          <w:p w14:paraId="61C5D39B" w14:textId="1706B763" w:rsidR="0002108E" w:rsidRPr="005217BB" w:rsidRDefault="0002108E" w:rsidP="0002108E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b/>
                <w:sz w:val="20"/>
                <w:szCs w:val="20"/>
              </w:rPr>
              <w:t>£m</w:t>
            </w:r>
          </w:p>
        </w:tc>
      </w:tr>
      <w:tr w:rsidR="0002108E" w:rsidRPr="00E42152" w14:paraId="13D38CF3" w14:textId="77777777" w:rsidTr="0002108E">
        <w:tc>
          <w:tcPr>
            <w:tcW w:w="0" w:type="auto"/>
          </w:tcPr>
          <w:p w14:paraId="17DB9C05" w14:textId="2C209B4D" w:rsidR="0002108E" w:rsidRPr="005217BB" w:rsidRDefault="0002108E" w:rsidP="0002108E">
            <w:pPr>
              <w:spacing w:before="60" w:after="60" w:line="276" w:lineRule="auto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/>
                <w:sz w:val="20"/>
                <w:szCs w:val="20"/>
              </w:rPr>
              <w:t>Capital Financing Requirement (CFR)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D22E3" w14:textId="022591DF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 w:cs="Arial"/>
                <w:sz w:val="20"/>
                <w:szCs w:val="20"/>
              </w:rPr>
              <w:t>176,049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BB6" w14:textId="6E088A45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 w:cs="Arial"/>
                <w:sz w:val="20"/>
                <w:szCs w:val="20"/>
              </w:rPr>
              <w:t>224.499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5883" w14:textId="12909820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 w:cs="Arial"/>
                <w:sz w:val="20"/>
                <w:szCs w:val="20"/>
              </w:rPr>
              <w:t>270.050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9CC" w14:textId="4791B4C3" w:rsidR="0002108E" w:rsidRPr="005217BB" w:rsidRDefault="0002108E" w:rsidP="0002108E">
            <w:pPr>
              <w:spacing w:before="60" w:after="60" w:line="276" w:lineRule="auto"/>
              <w:jc w:val="right"/>
              <w:rPr>
                <w:rFonts w:ascii="Trebuchet MS" w:hAnsi="Trebuchet MS"/>
                <w:sz w:val="20"/>
                <w:szCs w:val="20"/>
                <w:highlight w:val="yellow"/>
              </w:rPr>
            </w:pPr>
            <w:r w:rsidRPr="005217BB">
              <w:rPr>
                <w:rFonts w:ascii="Trebuchet MS" w:hAnsi="Trebuchet MS" w:cs="Arial"/>
                <w:sz w:val="20"/>
                <w:szCs w:val="20"/>
              </w:rPr>
              <w:t>286.200</w:t>
            </w:r>
          </w:p>
        </w:tc>
      </w:tr>
    </w:tbl>
    <w:p w14:paraId="1548EA3E" w14:textId="439621C8" w:rsidR="00CD462C" w:rsidRPr="00E61A3B" w:rsidRDefault="00CD462C" w:rsidP="00753FF6">
      <w:pPr>
        <w:pStyle w:val="ListParagraph"/>
        <w:spacing w:before="400" w:after="200" w:line="276" w:lineRule="auto"/>
        <w:ind w:left="0"/>
        <w:contextualSpacing w:val="0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E61A3B">
        <w:rPr>
          <w:rFonts w:ascii="Trebuchet MS" w:hAnsi="Trebuchet MS"/>
          <w:b/>
          <w:sz w:val="20"/>
          <w:szCs w:val="20"/>
          <w:u w:val="single"/>
        </w:rPr>
        <w:t xml:space="preserve">Treasury </w:t>
      </w:r>
      <w:r w:rsidR="00BF447F">
        <w:rPr>
          <w:rFonts w:ascii="Trebuchet MS" w:hAnsi="Trebuchet MS"/>
          <w:b/>
          <w:sz w:val="20"/>
          <w:szCs w:val="20"/>
          <w:u w:val="single"/>
        </w:rPr>
        <w:t>M</w:t>
      </w:r>
      <w:r w:rsidRPr="00E61A3B">
        <w:rPr>
          <w:rFonts w:ascii="Trebuchet MS" w:hAnsi="Trebuchet MS"/>
          <w:b/>
          <w:sz w:val="20"/>
          <w:szCs w:val="20"/>
          <w:u w:val="single"/>
        </w:rPr>
        <w:t>anagement</w:t>
      </w:r>
    </w:p>
    <w:p w14:paraId="058BB339" w14:textId="711EEBD3" w:rsidR="00C609CA" w:rsidRPr="00C55AA6" w:rsidRDefault="00C609CA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E42152">
        <w:rPr>
          <w:rFonts w:ascii="Trebuchet MS" w:hAnsi="Trebuchet MS"/>
          <w:sz w:val="20"/>
          <w:szCs w:val="20"/>
        </w:rPr>
        <w:t xml:space="preserve">Treasury management is concerned with keeping sufficient but not excessive cash available to meet the </w:t>
      </w:r>
      <w:r w:rsidR="008E3BE3">
        <w:rPr>
          <w:rFonts w:ascii="Trebuchet MS" w:hAnsi="Trebuchet MS"/>
          <w:sz w:val="20"/>
          <w:szCs w:val="20"/>
        </w:rPr>
        <w:t>Authority</w:t>
      </w:r>
      <w:r w:rsidRPr="00E42152">
        <w:rPr>
          <w:rFonts w:ascii="Trebuchet MS" w:hAnsi="Trebuchet MS"/>
          <w:sz w:val="20"/>
          <w:szCs w:val="20"/>
        </w:rPr>
        <w:t>’s spending needs</w:t>
      </w:r>
      <w:r w:rsidR="00213A4E" w:rsidRPr="00E42152">
        <w:rPr>
          <w:rFonts w:ascii="Trebuchet MS" w:hAnsi="Trebuchet MS"/>
          <w:sz w:val="20"/>
          <w:szCs w:val="20"/>
        </w:rPr>
        <w:t>, while managing the risks involved.</w:t>
      </w:r>
      <w:r w:rsidRPr="00E42152">
        <w:rPr>
          <w:rFonts w:ascii="Trebuchet MS" w:hAnsi="Trebuchet MS"/>
          <w:sz w:val="20"/>
          <w:szCs w:val="20"/>
        </w:rPr>
        <w:t xml:space="preserve"> Surplus cash is invested until required, while a shortage of cash will be met </w:t>
      </w:r>
      <w:r w:rsidR="004809E5" w:rsidRPr="00E42152">
        <w:rPr>
          <w:rFonts w:ascii="Trebuchet MS" w:hAnsi="Trebuchet MS"/>
          <w:sz w:val="20"/>
          <w:szCs w:val="20"/>
        </w:rPr>
        <w:t xml:space="preserve">by </w:t>
      </w:r>
      <w:r w:rsidRPr="00E42152">
        <w:rPr>
          <w:rFonts w:ascii="Trebuchet MS" w:hAnsi="Trebuchet MS"/>
          <w:sz w:val="20"/>
          <w:szCs w:val="20"/>
        </w:rPr>
        <w:t xml:space="preserve">borrowing, to avoid excessive credit balances or overdrafts in the bank current account. The </w:t>
      </w:r>
      <w:r w:rsidR="008E3BE3">
        <w:rPr>
          <w:rFonts w:ascii="Trebuchet MS" w:hAnsi="Trebuchet MS"/>
          <w:sz w:val="20"/>
          <w:szCs w:val="20"/>
        </w:rPr>
        <w:t>Authority</w:t>
      </w:r>
      <w:r w:rsidRPr="00E42152">
        <w:rPr>
          <w:rFonts w:ascii="Trebuchet MS" w:hAnsi="Trebuchet MS"/>
          <w:sz w:val="20"/>
          <w:szCs w:val="20"/>
        </w:rPr>
        <w:t xml:space="preserve"> is typically cash rich in the short-term as revenue income is received before it is spent, but cash poor in the long-term as capital expenditure is incurred before being financed. The revenue cash surpluses are </w:t>
      </w:r>
      <w:r w:rsidRPr="00C55AA6">
        <w:rPr>
          <w:rFonts w:ascii="Trebuchet MS" w:hAnsi="Trebuchet MS"/>
          <w:sz w:val="20"/>
          <w:szCs w:val="20"/>
        </w:rPr>
        <w:t xml:space="preserve">offset against capital cash shortfalls to reduce </w:t>
      </w:r>
      <w:r w:rsidR="00EB6518" w:rsidRPr="00C55AA6">
        <w:rPr>
          <w:rFonts w:ascii="Trebuchet MS" w:hAnsi="Trebuchet MS"/>
          <w:sz w:val="20"/>
          <w:szCs w:val="20"/>
        </w:rPr>
        <w:t xml:space="preserve">overall </w:t>
      </w:r>
      <w:r w:rsidRPr="00C55AA6">
        <w:rPr>
          <w:rFonts w:ascii="Trebuchet MS" w:hAnsi="Trebuchet MS"/>
          <w:sz w:val="20"/>
          <w:szCs w:val="20"/>
        </w:rPr>
        <w:t xml:space="preserve">borrowing. </w:t>
      </w:r>
    </w:p>
    <w:p w14:paraId="7B4FF506" w14:textId="5666D66F" w:rsidR="00513646" w:rsidRPr="00C55AA6" w:rsidRDefault="00513646" w:rsidP="0051364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C55AA6">
        <w:rPr>
          <w:rFonts w:ascii="Trebuchet MS" w:hAnsi="Trebuchet MS"/>
          <w:sz w:val="20"/>
          <w:szCs w:val="20"/>
        </w:rPr>
        <w:t xml:space="preserve">The Authority’s </w:t>
      </w:r>
      <w:r w:rsidR="00F3474B" w:rsidRPr="00C55AA6">
        <w:rPr>
          <w:rFonts w:ascii="Trebuchet MS" w:hAnsi="Trebuchet MS"/>
          <w:sz w:val="20"/>
          <w:szCs w:val="20"/>
        </w:rPr>
        <w:t>Treasury</w:t>
      </w:r>
      <w:r w:rsidRPr="00C55AA6">
        <w:rPr>
          <w:rFonts w:ascii="Trebuchet MS" w:hAnsi="Trebuchet MS"/>
          <w:sz w:val="20"/>
          <w:szCs w:val="20"/>
        </w:rPr>
        <w:t xml:space="preserve"> Management Strategy is available here: </w:t>
      </w:r>
      <w:hyperlink r:id="rId11" w:history="1">
        <w:r w:rsidR="00C55AA6" w:rsidRPr="00C55AA6">
          <w:rPr>
            <w:rStyle w:val="Hyperlink"/>
            <w:rFonts w:ascii="Trebuchet MS" w:hAnsi="Trebuchet MS"/>
            <w:sz w:val="20"/>
            <w:szCs w:val="20"/>
          </w:rPr>
          <w:t>PCC Financial Strategy</w:t>
        </w:r>
      </w:hyperlink>
    </w:p>
    <w:p w14:paraId="339EF64D" w14:textId="7242348C" w:rsidR="00642BFC" w:rsidRPr="00E71F55" w:rsidRDefault="00642BFC" w:rsidP="00753FF6">
      <w:pPr>
        <w:spacing w:before="400" w:after="200" w:line="276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C55AA6">
        <w:rPr>
          <w:rFonts w:ascii="Trebuchet MS" w:hAnsi="Trebuchet MS"/>
          <w:b/>
          <w:sz w:val="20"/>
          <w:szCs w:val="20"/>
          <w:u w:val="single"/>
        </w:rPr>
        <w:t>Revenue Budget Implications</w:t>
      </w:r>
    </w:p>
    <w:p w14:paraId="68D5EF17" w14:textId="7E15E8F8" w:rsidR="00E71F55" w:rsidRPr="00E556BC" w:rsidRDefault="00E556BC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0B46C0">
        <w:rPr>
          <w:rFonts w:ascii="Trebuchet MS" w:hAnsi="Trebuchet MS"/>
          <w:sz w:val="20"/>
          <w:szCs w:val="20"/>
        </w:rPr>
        <w:t xml:space="preserve">Although capital expenditure is not charged directly to the revenue budget, interest payable on loans and MRP </w:t>
      </w:r>
      <w:r>
        <w:rPr>
          <w:rFonts w:ascii="Trebuchet MS" w:hAnsi="Trebuchet MS"/>
          <w:sz w:val="20"/>
          <w:szCs w:val="20"/>
        </w:rPr>
        <w:t xml:space="preserve">are charged </w:t>
      </w:r>
      <w:r w:rsidRPr="00DE58DC">
        <w:rPr>
          <w:rFonts w:ascii="Trebuchet MS" w:hAnsi="Trebuchet MS"/>
          <w:sz w:val="20"/>
          <w:szCs w:val="20"/>
        </w:rPr>
        <w:t>to revenue</w:t>
      </w:r>
      <w:r w:rsidR="00455E10" w:rsidRPr="00DE58DC">
        <w:rPr>
          <w:rFonts w:ascii="Trebuchet MS" w:hAnsi="Trebuchet MS"/>
          <w:sz w:val="20"/>
          <w:szCs w:val="20"/>
        </w:rPr>
        <w:t xml:space="preserve">. </w:t>
      </w:r>
      <w:r w:rsidRPr="00DE58DC">
        <w:rPr>
          <w:rFonts w:ascii="Trebuchet MS" w:hAnsi="Trebuchet MS"/>
          <w:sz w:val="20"/>
          <w:szCs w:val="20"/>
        </w:rPr>
        <w:t>The</w:t>
      </w:r>
      <w:r>
        <w:rPr>
          <w:rFonts w:ascii="Trebuchet MS" w:hAnsi="Trebuchet MS"/>
          <w:sz w:val="20"/>
          <w:szCs w:val="20"/>
        </w:rPr>
        <w:t xml:space="preserve"> net annual charge is known as financing costs</w:t>
      </w:r>
      <w:r w:rsidR="00113952">
        <w:rPr>
          <w:rFonts w:ascii="Trebuchet MS" w:hAnsi="Trebuchet MS"/>
          <w:sz w:val="20"/>
          <w:szCs w:val="20"/>
        </w:rPr>
        <w:t>; this is compared to the net revenue stream i.e. the amount funded from Council Tax</w:t>
      </w:r>
      <w:r w:rsidR="00D946E3">
        <w:rPr>
          <w:rFonts w:ascii="Trebuchet MS" w:hAnsi="Trebuchet MS"/>
          <w:sz w:val="20"/>
          <w:szCs w:val="20"/>
        </w:rPr>
        <w:t xml:space="preserve"> </w:t>
      </w:r>
      <w:r w:rsidR="00113952">
        <w:rPr>
          <w:rFonts w:ascii="Trebuchet MS" w:hAnsi="Trebuchet MS"/>
          <w:sz w:val="20"/>
          <w:szCs w:val="20"/>
        </w:rPr>
        <w:t>and general government grants.</w:t>
      </w:r>
    </w:p>
    <w:p w14:paraId="07167F03" w14:textId="07378323" w:rsidR="00562EFF" w:rsidRPr="00E42152" w:rsidRDefault="00562EFF" w:rsidP="00713E0D">
      <w:pPr>
        <w:spacing w:after="200" w:line="276" w:lineRule="auto"/>
        <w:rPr>
          <w:rFonts w:ascii="Trebuchet MS" w:hAnsi="Trebuchet MS"/>
          <w:i/>
          <w:sz w:val="20"/>
          <w:szCs w:val="20"/>
        </w:rPr>
      </w:pPr>
      <w:r w:rsidRPr="00E42152">
        <w:rPr>
          <w:rFonts w:ascii="Trebuchet MS" w:hAnsi="Trebuchet MS"/>
          <w:i/>
          <w:sz w:val="20"/>
          <w:szCs w:val="20"/>
        </w:rPr>
        <w:t xml:space="preserve">Table </w:t>
      </w:r>
      <w:r w:rsidR="00AD3C2B">
        <w:rPr>
          <w:rFonts w:ascii="Trebuchet MS" w:hAnsi="Trebuchet MS"/>
          <w:i/>
          <w:sz w:val="20"/>
          <w:szCs w:val="20"/>
        </w:rPr>
        <w:t>5</w:t>
      </w:r>
      <w:r w:rsidRPr="00E42152">
        <w:rPr>
          <w:rFonts w:ascii="Trebuchet MS" w:hAnsi="Trebuchet MS"/>
          <w:i/>
          <w:sz w:val="20"/>
          <w:szCs w:val="20"/>
        </w:rPr>
        <w:t xml:space="preserve">: Prudential Indicator: Proportion of financing costs to net revenue </w:t>
      </w:r>
      <w:r w:rsidR="00713E0D">
        <w:rPr>
          <w:rFonts w:ascii="Trebuchet MS" w:hAnsi="Trebuchet MS"/>
          <w:i/>
          <w:sz w:val="20"/>
          <w:szCs w:val="20"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998"/>
        <w:gridCol w:w="998"/>
        <w:gridCol w:w="998"/>
      </w:tblGrid>
      <w:tr w:rsidR="00713E0D" w:rsidRPr="00E42152" w14:paraId="4738D49A" w14:textId="77777777" w:rsidTr="00713E0D">
        <w:tc>
          <w:tcPr>
            <w:tcW w:w="0" w:type="auto"/>
            <w:vAlign w:val="center"/>
          </w:tcPr>
          <w:p w14:paraId="21E716AE" w14:textId="77777777" w:rsidR="00713E0D" w:rsidRPr="00E42152" w:rsidRDefault="00713E0D" w:rsidP="00713E0D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395DC690" w14:textId="46277FCD" w:rsidR="00713E0D" w:rsidRPr="00E42152" w:rsidRDefault="00713E0D" w:rsidP="00713E0D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2026/27</w:t>
            </w:r>
          </w:p>
        </w:tc>
        <w:tc>
          <w:tcPr>
            <w:tcW w:w="0" w:type="auto"/>
          </w:tcPr>
          <w:p w14:paraId="5D974260" w14:textId="42C114FA" w:rsidR="00713E0D" w:rsidRPr="00E42152" w:rsidRDefault="00713E0D" w:rsidP="00713E0D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2027/28</w:t>
            </w:r>
          </w:p>
        </w:tc>
        <w:tc>
          <w:tcPr>
            <w:tcW w:w="0" w:type="auto"/>
          </w:tcPr>
          <w:p w14:paraId="0EDA4255" w14:textId="14FC21F7" w:rsidR="00713E0D" w:rsidRPr="00E42152" w:rsidRDefault="00713E0D" w:rsidP="00713E0D">
            <w:pPr>
              <w:spacing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2028/29</w:t>
            </w:r>
          </w:p>
        </w:tc>
      </w:tr>
      <w:tr w:rsidR="00713E0D" w:rsidRPr="00E42152" w14:paraId="1FD254D9" w14:textId="77777777" w:rsidTr="00713E0D">
        <w:trPr>
          <w:trHeight w:val="136"/>
        </w:trPr>
        <w:tc>
          <w:tcPr>
            <w:tcW w:w="0" w:type="auto"/>
            <w:vAlign w:val="center"/>
          </w:tcPr>
          <w:p w14:paraId="6A41014B" w14:textId="02D1C15B" w:rsidR="00713E0D" w:rsidRPr="00E42152" w:rsidRDefault="00713E0D" w:rsidP="00713E0D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E42152">
              <w:rPr>
                <w:rFonts w:ascii="Trebuchet MS" w:hAnsi="Trebuchet MS"/>
                <w:sz w:val="20"/>
                <w:szCs w:val="20"/>
              </w:rPr>
              <w:t>Financing costs</w:t>
            </w:r>
            <w:r>
              <w:rPr>
                <w:rFonts w:ascii="Trebuchet MS" w:hAnsi="Trebuchet MS"/>
                <w:sz w:val="20"/>
                <w:szCs w:val="20"/>
              </w:rPr>
              <w:t xml:space="preserve"> (£m)</w:t>
            </w:r>
          </w:p>
        </w:tc>
        <w:tc>
          <w:tcPr>
            <w:tcW w:w="0" w:type="auto"/>
            <w:vAlign w:val="center"/>
          </w:tcPr>
          <w:p w14:paraId="5ADB82EB" w14:textId="5E58CCDF" w:rsidR="00713E0D" w:rsidRPr="00E42152" w:rsidRDefault="00713E0D" w:rsidP="00713E0D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6.391</w:t>
            </w:r>
          </w:p>
        </w:tc>
        <w:tc>
          <w:tcPr>
            <w:tcW w:w="0" w:type="auto"/>
            <w:vAlign w:val="center"/>
          </w:tcPr>
          <w:p w14:paraId="323A680F" w14:textId="5F7C8DC9" w:rsidR="00713E0D" w:rsidRPr="00E42152" w:rsidRDefault="00713E0D" w:rsidP="00713E0D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9.641</w:t>
            </w:r>
          </w:p>
        </w:tc>
        <w:tc>
          <w:tcPr>
            <w:tcW w:w="0" w:type="auto"/>
            <w:vAlign w:val="center"/>
          </w:tcPr>
          <w:p w14:paraId="05B6D681" w14:textId="2945F29C" w:rsidR="00713E0D" w:rsidRPr="00E42152" w:rsidRDefault="00713E0D" w:rsidP="00713E0D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13.576</w:t>
            </w:r>
          </w:p>
        </w:tc>
      </w:tr>
      <w:tr w:rsidR="00713E0D" w:rsidRPr="00E42152" w14:paraId="698CDF4D" w14:textId="77777777" w:rsidTr="00713E0D">
        <w:tc>
          <w:tcPr>
            <w:tcW w:w="0" w:type="auto"/>
            <w:vAlign w:val="center"/>
          </w:tcPr>
          <w:p w14:paraId="630DDCFA" w14:textId="4B2463BE" w:rsidR="00713E0D" w:rsidRPr="00E42152" w:rsidRDefault="00713E0D" w:rsidP="00713E0D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E42152">
              <w:rPr>
                <w:rFonts w:ascii="Trebuchet MS" w:hAnsi="Trebuchet MS"/>
                <w:sz w:val="20"/>
                <w:szCs w:val="20"/>
              </w:rPr>
              <w:t xml:space="preserve">Proportion of </w:t>
            </w:r>
            <w:r>
              <w:rPr>
                <w:rFonts w:ascii="Trebuchet MS" w:hAnsi="Trebuchet MS"/>
                <w:sz w:val="20"/>
                <w:szCs w:val="20"/>
              </w:rPr>
              <w:t>net revenue budget</w:t>
            </w:r>
          </w:p>
        </w:tc>
        <w:tc>
          <w:tcPr>
            <w:tcW w:w="0" w:type="auto"/>
            <w:vAlign w:val="center"/>
          </w:tcPr>
          <w:p w14:paraId="25E33BFD" w14:textId="41B0B5A4" w:rsidR="00713E0D" w:rsidRPr="00E42152" w:rsidRDefault="00713E0D" w:rsidP="00713E0D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1.44</w:t>
            </w:r>
            <w:r w:rsidRPr="00E42152">
              <w:rPr>
                <w:rFonts w:ascii="Trebuchet MS" w:hAnsi="Trebuchet MS"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14:paraId="1981123C" w14:textId="03352B09" w:rsidR="00713E0D" w:rsidRPr="00E42152" w:rsidRDefault="00713E0D" w:rsidP="00713E0D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2.09</w:t>
            </w:r>
            <w:r w:rsidRPr="00E42152">
              <w:rPr>
                <w:rFonts w:ascii="Trebuchet MS" w:hAnsi="Trebuchet MS"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14:paraId="07A5398E" w14:textId="555E54AB" w:rsidR="00713E0D" w:rsidRPr="00104BA8" w:rsidRDefault="00713E0D" w:rsidP="00713E0D">
            <w:pPr>
              <w:spacing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2.83</w:t>
            </w:r>
            <w:r w:rsidRPr="00104BA8">
              <w:rPr>
                <w:rFonts w:ascii="Trebuchet MS" w:hAnsi="Trebuchet MS"/>
                <w:sz w:val="20"/>
                <w:szCs w:val="20"/>
              </w:rPr>
              <w:t>%</w:t>
            </w:r>
          </w:p>
        </w:tc>
      </w:tr>
    </w:tbl>
    <w:p w14:paraId="099F0422" w14:textId="77777777" w:rsidR="00315D35" w:rsidRDefault="00315D35" w:rsidP="00315D35">
      <w:pPr>
        <w:spacing w:line="240" w:lineRule="auto"/>
        <w:rPr>
          <w:rFonts w:ascii="Trebuchet MS" w:hAnsi="Trebuchet MS"/>
          <w:iCs/>
          <w:sz w:val="20"/>
          <w:szCs w:val="20"/>
        </w:rPr>
      </w:pPr>
    </w:p>
    <w:p w14:paraId="2DD02F95" w14:textId="325503C7" w:rsidR="00113952" w:rsidRPr="007619C6" w:rsidRDefault="00113952" w:rsidP="007619C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Further details on the revenue implications of capital expenditure are</w:t>
      </w:r>
      <w:r w:rsidR="00713E0D">
        <w:rPr>
          <w:rFonts w:ascii="Trebuchet MS" w:hAnsi="Trebuchet MS"/>
          <w:sz w:val="20"/>
          <w:szCs w:val="20"/>
        </w:rPr>
        <w:t xml:space="preserve"> shown in the 2026/27</w:t>
      </w:r>
      <w:r w:rsidRPr="00E71F5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revenue budget</w:t>
      </w:r>
      <w:r w:rsidRPr="00E71F55">
        <w:rPr>
          <w:rFonts w:ascii="Trebuchet MS" w:hAnsi="Trebuchet MS"/>
          <w:sz w:val="20"/>
          <w:szCs w:val="20"/>
        </w:rPr>
        <w:t xml:space="preserve"> </w:t>
      </w:r>
      <w:hyperlink r:id="rId12" w:history="1">
        <w:r w:rsidR="00713E0D">
          <w:rPr>
            <w:color w:val="0000FF"/>
            <w:u w:val="single"/>
          </w:rPr>
          <w:t>Revenue Budget and Capital Programme 2026.27</w:t>
        </w:r>
      </w:hyperlink>
    </w:p>
    <w:p w14:paraId="467DD178" w14:textId="28A4F628" w:rsidR="00B57887" w:rsidRDefault="00B57887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B57887">
        <w:rPr>
          <w:rFonts w:ascii="Trebuchet MS" w:hAnsi="Trebuchet MS"/>
          <w:b/>
          <w:sz w:val="20"/>
          <w:szCs w:val="20"/>
        </w:rPr>
        <w:t>Sustainability:</w:t>
      </w:r>
      <w:r>
        <w:rPr>
          <w:rFonts w:ascii="Trebuchet MS" w:hAnsi="Trebuchet MS"/>
          <w:sz w:val="20"/>
          <w:szCs w:val="20"/>
        </w:rPr>
        <w:t xml:space="preserve"> Due to the long-term nature of capital expenditure and financing, the revenue budget implications of expenditure incurred in the next few years will extend for up to </w:t>
      </w:r>
      <w:r w:rsidRPr="007635FA">
        <w:rPr>
          <w:rFonts w:ascii="Trebuchet MS" w:hAnsi="Trebuchet MS"/>
          <w:sz w:val="20"/>
          <w:szCs w:val="20"/>
        </w:rPr>
        <w:t>50 ye</w:t>
      </w:r>
      <w:r>
        <w:rPr>
          <w:rFonts w:ascii="Trebuchet MS" w:hAnsi="Trebuchet MS"/>
          <w:sz w:val="20"/>
          <w:szCs w:val="20"/>
        </w:rPr>
        <w:t xml:space="preserve">ars into the future. The </w:t>
      </w:r>
      <w:r w:rsidR="007635FA">
        <w:rPr>
          <w:rFonts w:ascii="Trebuchet MS" w:hAnsi="Trebuchet MS"/>
          <w:sz w:val="20"/>
          <w:szCs w:val="20"/>
        </w:rPr>
        <w:t>Chief Financial Officer</w:t>
      </w:r>
      <w:r>
        <w:rPr>
          <w:rFonts w:ascii="Trebuchet MS" w:hAnsi="Trebuchet MS"/>
          <w:sz w:val="20"/>
          <w:szCs w:val="20"/>
        </w:rPr>
        <w:t xml:space="preserve"> is satisfied that the proposed capital programme is prudent, affordable and sustainable</w:t>
      </w:r>
      <w:r w:rsidR="00D77608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66D6BEB1" w14:textId="66AB3FCF" w:rsidR="00A74078" w:rsidRDefault="00A74078" w:rsidP="00753FF6">
      <w:pPr>
        <w:spacing w:before="400" w:after="200" w:line="276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113952">
        <w:rPr>
          <w:rFonts w:ascii="Trebuchet MS" w:hAnsi="Trebuchet MS"/>
          <w:b/>
          <w:sz w:val="20"/>
          <w:szCs w:val="20"/>
          <w:u w:val="single"/>
        </w:rPr>
        <w:t>Knowledge and Skills</w:t>
      </w:r>
    </w:p>
    <w:p w14:paraId="52BBD153" w14:textId="4A67AB9C" w:rsidR="00E5420C" w:rsidRDefault="00E5420C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</w:t>
      </w:r>
      <w:r w:rsidR="008E3BE3">
        <w:rPr>
          <w:rFonts w:ascii="Trebuchet MS" w:hAnsi="Trebuchet MS"/>
          <w:sz w:val="20"/>
          <w:szCs w:val="20"/>
        </w:rPr>
        <w:t>Authority</w:t>
      </w:r>
      <w:r>
        <w:rPr>
          <w:rFonts w:ascii="Trebuchet MS" w:hAnsi="Trebuchet MS"/>
          <w:sz w:val="20"/>
          <w:szCs w:val="20"/>
        </w:rPr>
        <w:t xml:space="preserve"> employs professionally qualified and experienced staff in senior positions with responsibility for making capital expenditure, borrowing and investment decisions. </w:t>
      </w:r>
    </w:p>
    <w:p w14:paraId="078DE995" w14:textId="0ACD5B2B" w:rsidR="001E5683" w:rsidRDefault="001E5683" w:rsidP="00753FF6">
      <w:p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Where </w:t>
      </w:r>
      <w:r w:rsidR="008E3BE3">
        <w:rPr>
          <w:rFonts w:ascii="Trebuchet MS" w:hAnsi="Trebuchet MS"/>
          <w:sz w:val="20"/>
          <w:szCs w:val="20"/>
        </w:rPr>
        <w:t>Authority</w:t>
      </w:r>
      <w:r>
        <w:rPr>
          <w:rFonts w:ascii="Trebuchet MS" w:hAnsi="Trebuchet MS"/>
          <w:sz w:val="20"/>
          <w:szCs w:val="20"/>
        </w:rPr>
        <w:t xml:space="preserve"> staff do not have the knowledge and skills required, use is made of external advisers and consultants that are specialists in their field. The </w:t>
      </w:r>
      <w:r w:rsidR="008E3BE3">
        <w:rPr>
          <w:rFonts w:ascii="Trebuchet MS" w:hAnsi="Trebuchet MS"/>
          <w:sz w:val="20"/>
          <w:szCs w:val="20"/>
        </w:rPr>
        <w:t>Authority</w:t>
      </w:r>
      <w:r>
        <w:rPr>
          <w:rFonts w:ascii="Trebuchet MS" w:hAnsi="Trebuchet MS"/>
          <w:sz w:val="20"/>
          <w:szCs w:val="20"/>
        </w:rPr>
        <w:t xml:space="preserve"> currently employs Arlingclose Limited as treasury management advisers</w:t>
      </w:r>
      <w:r w:rsidR="00345CC2">
        <w:rPr>
          <w:rFonts w:ascii="Trebuchet MS" w:hAnsi="Trebuchet MS"/>
          <w:sz w:val="20"/>
          <w:szCs w:val="20"/>
        </w:rPr>
        <w:t xml:space="preserve">. </w:t>
      </w:r>
      <w:r>
        <w:rPr>
          <w:rFonts w:ascii="Trebuchet MS" w:hAnsi="Trebuchet MS"/>
          <w:sz w:val="20"/>
          <w:szCs w:val="20"/>
        </w:rPr>
        <w:t xml:space="preserve">This approach is more cost effective than employing such staff </w:t>
      </w:r>
      <w:proofErr w:type="gramStart"/>
      <w:r>
        <w:rPr>
          <w:rFonts w:ascii="Trebuchet MS" w:hAnsi="Trebuchet MS"/>
          <w:sz w:val="20"/>
          <w:szCs w:val="20"/>
        </w:rPr>
        <w:t>directly</w:t>
      </w:r>
      <w:r w:rsidR="00D71354">
        <w:rPr>
          <w:rFonts w:ascii="Trebuchet MS" w:hAnsi="Trebuchet MS"/>
          <w:sz w:val="20"/>
          <w:szCs w:val="20"/>
        </w:rPr>
        <w:t>, and</w:t>
      </w:r>
      <w:proofErr w:type="gramEnd"/>
      <w:r w:rsidR="00D71354">
        <w:rPr>
          <w:rFonts w:ascii="Trebuchet MS" w:hAnsi="Trebuchet MS"/>
          <w:sz w:val="20"/>
          <w:szCs w:val="20"/>
        </w:rPr>
        <w:t xml:space="preserve"> ensures that the </w:t>
      </w:r>
      <w:r w:rsidR="008E3BE3">
        <w:rPr>
          <w:rFonts w:ascii="Trebuchet MS" w:hAnsi="Trebuchet MS"/>
          <w:sz w:val="20"/>
          <w:szCs w:val="20"/>
        </w:rPr>
        <w:t>Authority</w:t>
      </w:r>
      <w:r w:rsidR="00D71354">
        <w:rPr>
          <w:rFonts w:ascii="Trebuchet MS" w:hAnsi="Trebuchet MS"/>
          <w:sz w:val="20"/>
          <w:szCs w:val="20"/>
        </w:rPr>
        <w:t xml:space="preserve"> has access to knowledge and skills commensurate with its risk appetite.</w:t>
      </w:r>
    </w:p>
    <w:sectPr w:rsidR="001E5683" w:rsidSect="00A258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2505"/>
    <w:multiLevelType w:val="hybridMultilevel"/>
    <w:tmpl w:val="C7A45B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1E84"/>
    <w:multiLevelType w:val="hybridMultilevel"/>
    <w:tmpl w:val="C98E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B7D5D"/>
    <w:multiLevelType w:val="hybridMultilevel"/>
    <w:tmpl w:val="0540B8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53858">
    <w:abstractNumId w:val="2"/>
  </w:num>
  <w:num w:numId="2" w16cid:durableId="1413432001">
    <w:abstractNumId w:val="0"/>
  </w:num>
  <w:num w:numId="3" w16cid:durableId="98115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D3"/>
    <w:rsid w:val="000057B6"/>
    <w:rsid w:val="000134A3"/>
    <w:rsid w:val="000170F1"/>
    <w:rsid w:val="0002108E"/>
    <w:rsid w:val="00025E6A"/>
    <w:rsid w:val="00030E58"/>
    <w:rsid w:val="000315DB"/>
    <w:rsid w:val="000401F1"/>
    <w:rsid w:val="00044F4A"/>
    <w:rsid w:val="000529ED"/>
    <w:rsid w:val="0005500B"/>
    <w:rsid w:val="0005522B"/>
    <w:rsid w:val="000630C8"/>
    <w:rsid w:val="00067706"/>
    <w:rsid w:val="00067D58"/>
    <w:rsid w:val="00071EF3"/>
    <w:rsid w:val="00082F30"/>
    <w:rsid w:val="0008333C"/>
    <w:rsid w:val="00083794"/>
    <w:rsid w:val="000A298C"/>
    <w:rsid w:val="000B3297"/>
    <w:rsid w:val="000B46C0"/>
    <w:rsid w:val="000C4812"/>
    <w:rsid w:val="000E216F"/>
    <w:rsid w:val="000E3104"/>
    <w:rsid w:val="000E3E78"/>
    <w:rsid w:val="000F4413"/>
    <w:rsid w:val="000F51A2"/>
    <w:rsid w:val="000F6EDF"/>
    <w:rsid w:val="00102298"/>
    <w:rsid w:val="00102ED9"/>
    <w:rsid w:val="00104BA8"/>
    <w:rsid w:val="00113952"/>
    <w:rsid w:val="00114870"/>
    <w:rsid w:val="00114E65"/>
    <w:rsid w:val="00117ABF"/>
    <w:rsid w:val="00122496"/>
    <w:rsid w:val="00125F39"/>
    <w:rsid w:val="00145A50"/>
    <w:rsid w:val="00161FCE"/>
    <w:rsid w:val="00171361"/>
    <w:rsid w:val="001822C6"/>
    <w:rsid w:val="00182F57"/>
    <w:rsid w:val="00183656"/>
    <w:rsid w:val="00185EAA"/>
    <w:rsid w:val="00191752"/>
    <w:rsid w:val="001B3443"/>
    <w:rsid w:val="001B7352"/>
    <w:rsid w:val="001C220D"/>
    <w:rsid w:val="001D1275"/>
    <w:rsid w:val="001D17CF"/>
    <w:rsid w:val="001D709B"/>
    <w:rsid w:val="001D7D95"/>
    <w:rsid w:val="001E5683"/>
    <w:rsid w:val="001F25ED"/>
    <w:rsid w:val="001F3D3B"/>
    <w:rsid w:val="001F4500"/>
    <w:rsid w:val="00200E1B"/>
    <w:rsid w:val="00200E99"/>
    <w:rsid w:val="00204C6B"/>
    <w:rsid w:val="00213A4E"/>
    <w:rsid w:val="002153EF"/>
    <w:rsid w:val="002323E9"/>
    <w:rsid w:val="00237CFE"/>
    <w:rsid w:val="002437B0"/>
    <w:rsid w:val="00261EE7"/>
    <w:rsid w:val="0027436A"/>
    <w:rsid w:val="00274A6C"/>
    <w:rsid w:val="00277BEE"/>
    <w:rsid w:val="002873DA"/>
    <w:rsid w:val="0029784B"/>
    <w:rsid w:val="002A6646"/>
    <w:rsid w:val="002B50EB"/>
    <w:rsid w:val="002C2429"/>
    <w:rsid w:val="002C5E17"/>
    <w:rsid w:val="002D0C8B"/>
    <w:rsid w:val="002D287E"/>
    <w:rsid w:val="002D3357"/>
    <w:rsid w:val="002D4213"/>
    <w:rsid w:val="0030108E"/>
    <w:rsid w:val="00304F60"/>
    <w:rsid w:val="00305CE4"/>
    <w:rsid w:val="00310D7B"/>
    <w:rsid w:val="00311CF9"/>
    <w:rsid w:val="00315D35"/>
    <w:rsid w:val="00320A1E"/>
    <w:rsid w:val="00322BE0"/>
    <w:rsid w:val="00324962"/>
    <w:rsid w:val="00324E80"/>
    <w:rsid w:val="00345CC2"/>
    <w:rsid w:val="00362376"/>
    <w:rsid w:val="00371D19"/>
    <w:rsid w:val="00377130"/>
    <w:rsid w:val="0038744F"/>
    <w:rsid w:val="00391E62"/>
    <w:rsid w:val="00392BFC"/>
    <w:rsid w:val="003A73D0"/>
    <w:rsid w:val="003B0D5F"/>
    <w:rsid w:val="003B5B29"/>
    <w:rsid w:val="003B5FEE"/>
    <w:rsid w:val="003E360E"/>
    <w:rsid w:val="003E5205"/>
    <w:rsid w:val="003F449E"/>
    <w:rsid w:val="0043764C"/>
    <w:rsid w:val="00445472"/>
    <w:rsid w:val="00447987"/>
    <w:rsid w:val="00453BCA"/>
    <w:rsid w:val="00455E10"/>
    <w:rsid w:val="004643A7"/>
    <w:rsid w:val="0047131B"/>
    <w:rsid w:val="00473882"/>
    <w:rsid w:val="004809E5"/>
    <w:rsid w:val="0049237D"/>
    <w:rsid w:val="004A47E5"/>
    <w:rsid w:val="004B2014"/>
    <w:rsid w:val="004B3130"/>
    <w:rsid w:val="004B5ADF"/>
    <w:rsid w:val="004B5DFB"/>
    <w:rsid w:val="004C16CB"/>
    <w:rsid w:val="004C1BE1"/>
    <w:rsid w:val="004C377A"/>
    <w:rsid w:val="004C7A79"/>
    <w:rsid w:val="004D1B31"/>
    <w:rsid w:val="004D7208"/>
    <w:rsid w:val="004E5B24"/>
    <w:rsid w:val="005032E8"/>
    <w:rsid w:val="00504243"/>
    <w:rsid w:val="00513646"/>
    <w:rsid w:val="005217BB"/>
    <w:rsid w:val="00532CC7"/>
    <w:rsid w:val="00544DEB"/>
    <w:rsid w:val="00551161"/>
    <w:rsid w:val="00551CD3"/>
    <w:rsid w:val="00552DC8"/>
    <w:rsid w:val="00554208"/>
    <w:rsid w:val="00562EFF"/>
    <w:rsid w:val="005662A0"/>
    <w:rsid w:val="0057506F"/>
    <w:rsid w:val="005821CF"/>
    <w:rsid w:val="00584985"/>
    <w:rsid w:val="00584F19"/>
    <w:rsid w:val="00596572"/>
    <w:rsid w:val="005B20B1"/>
    <w:rsid w:val="005B4D21"/>
    <w:rsid w:val="005D1FBC"/>
    <w:rsid w:val="005D7EA4"/>
    <w:rsid w:val="005F07E4"/>
    <w:rsid w:val="005F4D81"/>
    <w:rsid w:val="00612A09"/>
    <w:rsid w:val="006142B5"/>
    <w:rsid w:val="006231E3"/>
    <w:rsid w:val="00626BE0"/>
    <w:rsid w:val="00630BFA"/>
    <w:rsid w:val="00642BFC"/>
    <w:rsid w:val="00644412"/>
    <w:rsid w:val="00645D52"/>
    <w:rsid w:val="00651349"/>
    <w:rsid w:val="0065206E"/>
    <w:rsid w:val="00653A49"/>
    <w:rsid w:val="0066695D"/>
    <w:rsid w:val="0066746E"/>
    <w:rsid w:val="00677971"/>
    <w:rsid w:val="00683D45"/>
    <w:rsid w:val="00693734"/>
    <w:rsid w:val="00696374"/>
    <w:rsid w:val="006A2A5F"/>
    <w:rsid w:val="006A48FB"/>
    <w:rsid w:val="006C3BF5"/>
    <w:rsid w:val="006C3C8A"/>
    <w:rsid w:val="006C5784"/>
    <w:rsid w:val="006D7784"/>
    <w:rsid w:val="006E2640"/>
    <w:rsid w:val="006F2B5E"/>
    <w:rsid w:val="00703968"/>
    <w:rsid w:val="00713E0D"/>
    <w:rsid w:val="007238A7"/>
    <w:rsid w:val="007253AD"/>
    <w:rsid w:val="00732D03"/>
    <w:rsid w:val="0073332F"/>
    <w:rsid w:val="00736DD3"/>
    <w:rsid w:val="00753FF6"/>
    <w:rsid w:val="007601B4"/>
    <w:rsid w:val="007619C6"/>
    <w:rsid w:val="007635FA"/>
    <w:rsid w:val="00772738"/>
    <w:rsid w:val="00774ED6"/>
    <w:rsid w:val="00792A82"/>
    <w:rsid w:val="007A65DC"/>
    <w:rsid w:val="007B0BA0"/>
    <w:rsid w:val="007B1012"/>
    <w:rsid w:val="007C0B56"/>
    <w:rsid w:val="007C3F6A"/>
    <w:rsid w:val="007D0477"/>
    <w:rsid w:val="007D162F"/>
    <w:rsid w:val="007D24D0"/>
    <w:rsid w:val="007E1813"/>
    <w:rsid w:val="007E304C"/>
    <w:rsid w:val="00804632"/>
    <w:rsid w:val="00810DE6"/>
    <w:rsid w:val="00811BA4"/>
    <w:rsid w:val="00817354"/>
    <w:rsid w:val="00822360"/>
    <w:rsid w:val="00823BF2"/>
    <w:rsid w:val="00835723"/>
    <w:rsid w:val="00840B80"/>
    <w:rsid w:val="00865ADC"/>
    <w:rsid w:val="00875F04"/>
    <w:rsid w:val="00876E8B"/>
    <w:rsid w:val="00882082"/>
    <w:rsid w:val="00883D38"/>
    <w:rsid w:val="00885215"/>
    <w:rsid w:val="00885A30"/>
    <w:rsid w:val="00885EAA"/>
    <w:rsid w:val="008936F1"/>
    <w:rsid w:val="008A03F4"/>
    <w:rsid w:val="008A4DD8"/>
    <w:rsid w:val="008A7C2F"/>
    <w:rsid w:val="008D78E9"/>
    <w:rsid w:val="008E2049"/>
    <w:rsid w:val="008E2B9C"/>
    <w:rsid w:val="008E3BE3"/>
    <w:rsid w:val="008F3631"/>
    <w:rsid w:val="00902CDE"/>
    <w:rsid w:val="00905780"/>
    <w:rsid w:val="00922854"/>
    <w:rsid w:val="0093524E"/>
    <w:rsid w:val="009469D9"/>
    <w:rsid w:val="00967145"/>
    <w:rsid w:val="00977E48"/>
    <w:rsid w:val="00984C0E"/>
    <w:rsid w:val="009A01E0"/>
    <w:rsid w:val="009A61E6"/>
    <w:rsid w:val="009B1231"/>
    <w:rsid w:val="009B692B"/>
    <w:rsid w:val="009C1439"/>
    <w:rsid w:val="009C159C"/>
    <w:rsid w:val="009D14BC"/>
    <w:rsid w:val="009E3F75"/>
    <w:rsid w:val="009E5667"/>
    <w:rsid w:val="00A07AD9"/>
    <w:rsid w:val="00A07CB6"/>
    <w:rsid w:val="00A2090A"/>
    <w:rsid w:val="00A251D0"/>
    <w:rsid w:val="00A25592"/>
    <w:rsid w:val="00A2586E"/>
    <w:rsid w:val="00A2700B"/>
    <w:rsid w:val="00A27A52"/>
    <w:rsid w:val="00A33915"/>
    <w:rsid w:val="00A36526"/>
    <w:rsid w:val="00A47A0F"/>
    <w:rsid w:val="00A51268"/>
    <w:rsid w:val="00A652F9"/>
    <w:rsid w:val="00A74078"/>
    <w:rsid w:val="00A77788"/>
    <w:rsid w:val="00A84F8A"/>
    <w:rsid w:val="00A92705"/>
    <w:rsid w:val="00AA2202"/>
    <w:rsid w:val="00AA5518"/>
    <w:rsid w:val="00AD3C2B"/>
    <w:rsid w:val="00AE7895"/>
    <w:rsid w:val="00AF7DB6"/>
    <w:rsid w:val="00B21301"/>
    <w:rsid w:val="00B32AB4"/>
    <w:rsid w:val="00B57887"/>
    <w:rsid w:val="00B60B54"/>
    <w:rsid w:val="00B60D8B"/>
    <w:rsid w:val="00B9736B"/>
    <w:rsid w:val="00BC3665"/>
    <w:rsid w:val="00BD1D79"/>
    <w:rsid w:val="00BF447F"/>
    <w:rsid w:val="00C04A48"/>
    <w:rsid w:val="00C06745"/>
    <w:rsid w:val="00C10443"/>
    <w:rsid w:val="00C126B4"/>
    <w:rsid w:val="00C20AE1"/>
    <w:rsid w:val="00C4290E"/>
    <w:rsid w:val="00C43DCD"/>
    <w:rsid w:val="00C45058"/>
    <w:rsid w:val="00C50527"/>
    <w:rsid w:val="00C552BF"/>
    <w:rsid w:val="00C55AA6"/>
    <w:rsid w:val="00C57917"/>
    <w:rsid w:val="00C609CA"/>
    <w:rsid w:val="00C6254B"/>
    <w:rsid w:val="00C65D49"/>
    <w:rsid w:val="00C723E5"/>
    <w:rsid w:val="00C76AD8"/>
    <w:rsid w:val="00C82EA8"/>
    <w:rsid w:val="00C902C2"/>
    <w:rsid w:val="00CA41ED"/>
    <w:rsid w:val="00CB1E62"/>
    <w:rsid w:val="00CC6875"/>
    <w:rsid w:val="00CD1E6C"/>
    <w:rsid w:val="00CD3885"/>
    <w:rsid w:val="00CD462C"/>
    <w:rsid w:val="00CE561C"/>
    <w:rsid w:val="00CF39D4"/>
    <w:rsid w:val="00CF6CE4"/>
    <w:rsid w:val="00D02E0C"/>
    <w:rsid w:val="00D26E6B"/>
    <w:rsid w:val="00D272BE"/>
    <w:rsid w:val="00D43B1C"/>
    <w:rsid w:val="00D46CC9"/>
    <w:rsid w:val="00D5223E"/>
    <w:rsid w:val="00D57B14"/>
    <w:rsid w:val="00D624D4"/>
    <w:rsid w:val="00D67DED"/>
    <w:rsid w:val="00D71354"/>
    <w:rsid w:val="00D77608"/>
    <w:rsid w:val="00D81769"/>
    <w:rsid w:val="00D84998"/>
    <w:rsid w:val="00D84B5E"/>
    <w:rsid w:val="00D946E3"/>
    <w:rsid w:val="00D9788B"/>
    <w:rsid w:val="00DA0B7F"/>
    <w:rsid w:val="00DA2748"/>
    <w:rsid w:val="00DA69EA"/>
    <w:rsid w:val="00DB10E8"/>
    <w:rsid w:val="00DB2FBD"/>
    <w:rsid w:val="00DB72A5"/>
    <w:rsid w:val="00DB7776"/>
    <w:rsid w:val="00DC373B"/>
    <w:rsid w:val="00DD5533"/>
    <w:rsid w:val="00DD7066"/>
    <w:rsid w:val="00DE06CA"/>
    <w:rsid w:val="00DE3655"/>
    <w:rsid w:val="00DE58DC"/>
    <w:rsid w:val="00E13F20"/>
    <w:rsid w:val="00E16C4E"/>
    <w:rsid w:val="00E174DA"/>
    <w:rsid w:val="00E20131"/>
    <w:rsid w:val="00E42152"/>
    <w:rsid w:val="00E5420C"/>
    <w:rsid w:val="00E556BC"/>
    <w:rsid w:val="00E61A3B"/>
    <w:rsid w:val="00E71F55"/>
    <w:rsid w:val="00E7727C"/>
    <w:rsid w:val="00E9297C"/>
    <w:rsid w:val="00E93B22"/>
    <w:rsid w:val="00EA4DA4"/>
    <w:rsid w:val="00EB24A7"/>
    <w:rsid w:val="00EB265C"/>
    <w:rsid w:val="00EB6518"/>
    <w:rsid w:val="00EC2758"/>
    <w:rsid w:val="00EC3A2A"/>
    <w:rsid w:val="00ED1E75"/>
    <w:rsid w:val="00ED47A6"/>
    <w:rsid w:val="00EE7F57"/>
    <w:rsid w:val="00F03AD3"/>
    <w:rsid w:val="00F04639"/>
    <w:rsid w:val="00F271B4"/>
    <w:rsid w:val="00F3474B"/>
    <w:rsid w:val="00F504F7"/>
    <w:rsid w:val="00F54721"/>
    <w:rsid w:val="00F82CE2"/>
    <w:rsid w:val="00F82F97"/>
    <w:rsid w:val="00F844AC"/>
    <w:rsid w:val="00F866A5"/>
    <w:rsid w:val="00F96E3B"/>
    <w:rsid w:val="00F97AE4"/>
    <w:rsid w:val="00FA1192"/>
    <w:rsid w:val="00FA679B"/>
    <w:rsid w:val="00FB05CB"/>
    <w:rsid w:val="00FC69CD"/>
    <w:rsid w:val="00FD066E"/>
    <w:rsid w:val="00FD59BE"/>
    <w:rsid w:val="00FE1699"/>
    <w:rsid w:val="00FF0C52"/>
    <w:rsid w:val="00FF478E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9CE3"/>
  <w15:chartTrackingRefBased/>
  <w15:docId w15:val="{D9DF0B47-7C41-4ED8-870D-71541CE1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A0"/>
    <w:pPr>
      <w:ind w:left="720"/>
      <w:contextualSpacing/>
    </w:pPr>
  </w:style>
  <w:style w:type="table" w:styleId="TableGrid">
    <w:name w:val="Table Grid"/>
    <w:basedOn w:val="TableNormal"/>
    <w:uiPriority w:val="39"/>
    <w:rsid w:val="0081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19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9C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25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25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ncashire-pcc.gov.uk/wp-content/uploads/2026/03/2025-68-Revenue-Budget-and-Council-Tax-2026.27-recommendation-repor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-pcc.gov.uk/transparency/financial-information/financial-strateg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ancashire-pcc.gov.uk/transparency/financial-information/financial-strateg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ancashire-pcc.gov.uk/wp-content/uploads/2026/03/2025-68-Revenue-Budget-and-Council-Tax-2026.27-recommendation-repor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27527055ECF409FF7E56BB6C153DE" ma:contentTypeVersion="7" ma:contentTypeDescription="Create a new document." ma:contentTypeScope="" ma:versionID="fc0f0c1439a23f6c10de1ff38c7afb1b">
  <xsd:schema xmlns:xsd="http://www.w3.org/2001/XMLSchema" xmlns:xs="http://www.w3.org/2001/XMLSchema" xmlns:p="http://schemas.microsoft.com/office/2006/metadata/properties" xmlns:ns2="fafc71dd-b7c3-49fc-a8cb-d0c1482d6ab9" xmlns:ns3="e622912a-8156-44a4-9926-b8f0230e4659" targetNamespace="http://schemas.microsoft.com/office/2006/metadata/properties" ma:root="true" ma:fieldsID="8ccae9999980e4653a32ab15775242ae" ns2:_="" ns3:_="">
    <xsd:import namespace="fafc71dd-b7c3-49fc-a8cb-d0c1482d6ab9"/>
    <xsd:import namespace="e622912a-8156-44a4-9926-b8f0230e4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c71dd-b7c3-49fc-a8cb-d0c1482d6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2912a-8156-44a4-9926-b8f0230e4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35437-75B7-4574-886E-D3D7AC255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81334-0F09-4D6F-8AF3-E2A30E257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DDC53-4EAF-4863-B749-5B2173F27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c71dd-b7c3-49fc-a8cb-d0c1482d6ab9"/>
    <ds:schemaRef ds:uri="e622912a-8156-44a4-9926-b8f0230e4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978</Words>
  <Characters>6406</Characters>
  <Application>Microsoft Office Word</Application>
  <DocSecurity>0</DocSecurity>
  <Lines>133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Green</dc:creator>
  <cp:keywords/>
  <dc:description/>
  <cp:lastModifiedBy>Freeman, Steve</cp:lastModifiedBy>
  <cp:revision>3</cp:revision>
  <cp:lastPrinted>2018-08-08T12:02:00Z</cp:lastPrinted>
  <dcterms:created xsi:type="dcterms:W3CDTF">2026-03-20T09:40:00Z</dcterms:created>
  <dcterms:modified xsi:type="dcterms:W3CDTF">2026-03-30T11:14:00Z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7077600</vt:r8>
  </property>
  <property fmtid="{D5CDD505-2E9C-101B-9397-08002B2CF9AE}" pid="3" name="MediaServiceImageTags">
    <vt:lpwstr/>
  </property>
  <property fmtid="{D5CDD505-2E9C-101B-9397-08002B2CF9AE}" pid="4" name="MSIP_Label_f199e5ce-74b9-4f55-9a70-2eed142e80cb_Enabled">
    <vt:lpwstr>true</vt:lpwstr>
  </property>
  <property fmtid="{D5CDD505-2E9C-101B-9397-08002B2CF9AE}" pid="5" name="MSIP_Label_f199e5ce-74b9-4f55-9a70-2eed142e80cb_SetDate">
    <vt:lpwstr>2025-03-20T18:08:14Z</vt:lpwstr>
  </property>
  <property fmtid="{D5CDD505-2E9C-101B-9397-08002B2CF9AE}" pid="6" name="MSIP_Label_f199e5ce-74b9-4f55-9a70-2eed142e80cb_Method">
    <vt:lpwstr>Standard</vt:lpwstr>
  </property>
  <property fmtid="{D5CDD505-2E9C-101B-9397-08002B2CF9AE}" pid="7" name="MSIP_Label_f199e5ce-74b9-4f55-9a70-2eed142e80cb_Name">
    <vt:lpwstr>OFFICIA</vt:lpwstr>
  </property>
  <property fmtid="{D5CDD505-2E9C-101B-9397-08002B2CF9AE}" pid="8" name="MSIP_Label_f199e5ce-74b9-4f55-9a70-2eed142e80cb_SiteId">
    <vt:lpwstr>5c524f10-3c77-423d-8c82-842fc2a22afb</vt:lpwstr>
  </property>
  <property fmtid="{D5CDD505-2E9C-101B-9397-08002B2CF9AE}" pid="9" name="MSIP_Label_f199e5ce-74b9-4f55-9a70-2eed142e80cb_ActionId">
    <vt:lpwstr>c0eac371-a9d5-4ff0-bb61-f38b95ef021a</vt:lpwstr>
  </property>
  <property fmtid="{D5CDD505-2E9C-101B-9397-08002B2CF9AE}" pid="10" name="MSIP_Label_f199e5ce-74b9-4f55-9a70-2eed142e80cb_ContentBits">
    <vt:lpwstr>0</vt:lpwstr>
  </property>
  <property fmtid="{D5CDD505-2E9C-101B-9397-08002B2CF9AE}" pid="11" name="MSIP_Label_f199e5ce-74b9-4f55-9a70-2eed142e80cb_Tag">
    <vt:lpwstr>10, 3, 0, 1</vt:lpwstr>
  </property>
  <property fmtid="{D5CDD505-2E9C-101B-9397-08002B2CF9AE}" pid="12" name="ContentTypeId">
    <vt:lpwstr>0x01010013427527055ECF409FF7E56BB6C153DE</vt:lpwstr>
  </property>
</Properties>
</file>