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D5E4" w14:textId="6E8932ED" w:rsidR="00F4690A" w:rsidRPr="001061F5" w:rsidRDefault="00F4690A" w:rsidP="00F4690A">
      <w:pPr>
        <w:rPr>
          <w:rFonts w:ascii="Arial" w:hAnsi="Arial" w:cs="Arial"/>
          <w:b/>
          <w:bCs/>
          <w:sz w:val="24"/>
          <w:szCs w:val="24"/>
        </w:rPr>
      </w:pPr>
      <w:r w:rsidRPr="00F4690A">
        <w:rPr>
          <w:rFonts w:ascii="Arial" w:hAnsi="Arial" w:cs="Arial"/>
          <w:b/>
          <w:bCs/>
          <w:sz w:val="24"/>
          <w:szCs w:val="24"/>
        </w:rPr>
        <w:t>Grant Guidance: Sexual Violence and Domestic Abuse Counselling Grant Opportunity</w:t>
      </w:r>
    </w:p>
    <w:p w14:paraId="0E381113" w14:textId="77777777" w:rsidR="001061F5" w:rsidRPr="00F4690A" w:rsidRDefault="001061F5" w:rsidP="00F4690A">
      <w:pPr>
        <w:rPr>
          <w:rFonts w:ascii="Arial" w:hAnsi="Arial" w:cs="Arial"/>
          <w:b/>
          <w:bCs/>
          <w:sz w:val="24"/>
          <w:szCs w:val="24"/>
        </w:rPr>
      </w:pPr>
    </w:p>
    <w:p w14:paraId="617F3725" w14:textId="3C5830AE" w:rsidR="00F4690A" w:rsidRPr="001061F5" w:rsidRDefault="00F4690A" w:rsidP="007B54B9">
      <w:pPr>
        <w:pStyle w:val="ListParagraph"/>
        <w:numPr>
          <w:ilvl w:val="0"/>
          <w:numId w:val="32"/>
        </w:numPr>
        <w:rPr>
          <w:rFonts w:ascii="Arial" w:hAnsi="Arial" w:cs="Arial"/>
          <w:b/>
          <w:bCs/>
        </w:rPr>
      </w:pPr>
      <w:r w:rsidRPr="001061F5">
        <w:rPr>
          <w:rFonts w:ascii="Arial" w:hAnsi="Arial" w:cs="Arial"/>
          <w:b/>
          <w:bCs/>
        </w:rPr>
        <w:t>Introduction</w:t>
      </w:r>
    </w:p>
    <w:p w14:paraId="687368F8" w14:textId="77777777" w:rsidR="00F4690A" w:rsidRPr="001061F5" w:rsidRDefault="00F4690A" w:rsidP="00F4690A">
      <w:pPr>
        <w:rPr>
          <w:rFonts w:ascii="Arial" w:hAnsi="Arial" w:cs="Arial"/>
        </w:rPr>
      </w:pPr>
      <w:r w:rsidRPr="001061F5">
        <w:rPr>
          <w:rFonts w:ascii="Arial" w:hAnsi="Arial" w:cs="Arial"/>
        </w:rPr>
        <w:t>The Lancashire Police and Crime Commissioner (PCC) has set out a strategic vision to reduce crime and improve public safety across the county, as outlined in the Police and Crime Plan for Lancashire 2024 - 2029. This vision is built on four key priorities:</w:t>
      </w:r>
    </w:p>
    <w:p w14:paraId="2E8EECD4" w14:textId="77777777" w:rsidR="00F4690A" w:rsidRPr="001061F5" w:rsidRDefault="00F4690A" w:rsidP="00F4690A">
      <w:pPr>
        <w:numPr>
          <w:ilvl w:val="0"/>
          <w:numId w:val="11"/>
        </w:numPr>
        <w:tabs>
          <w:tab w:val="clear" w:pos="360"/>
          <w:tab w:val="num" w:pos="720"/>
        </w:tabs>
        <w:rPr>
          <w:rFonts w:ascii="Arial" w:hAnsi="Arial" w:cs="Arial"/>
        </w:rPr>
      </w:pPr>
      <w:r w:rsidRPr="001061F5">
        <w:rPr>
          <w:rFonts w:ascii="Arial" w:hAnsi="Arial" w:cs="Arial"/>
        </w:rPr>
        <w:t>Preventing Violence Against Women and Girls</w:t>
      </w:r>
    </w:p>
    <w:p w14:paraId="3C2048B9" w14:textId="77777777" w:rsidR="00F4690A" w:rsidRPr="001061F5" w:rsidRDefault="00F4690A" w:rsidP="00F4690A">
      <w:pPr>
        <w:numPr>
          <w:ilvl w:val="0"/>
          <w:numId w:val="11"/>
        </w:numPr>
        <w:tabs>
          <w:tab w:val="clear" w:pos="360"/>
          <w:tab w:val="num" w:pos="720"/>
        </w:tabs>
        <w:rPr>
          <w:rFonts w:ascii="Arial" w:hAnsi="Arial" w:cs="Arial"/>
        </w:rPr>
      </w:pPr>
      <w:r w:rsidRPr="001061F5">
        <w:rPr>
          <w:rFonts w:ascii="Arial" w:hAnsi="Arial" w:cs="Arial"/>
        </w:rPr>
        <w:t>Tackling Crime and Anti-Social Behaviour</w:t>
      </w:r>
    </w:p>
    <w:p w14:paraId="3D92B487" w14:textId="77777777" w:rsidR="00F4690A" w:rsidRPr="001061F5" w:rsidRDefault="00F4690A" w:rsidP="00F4690A">
      <w:pPr>
        <w:numPr>
          <w:ilvl w:val="0"/>
          <w:numId w:val="11"/>
        </w:numPr>
        <w:tabs>
          <w:tab w:val="clear" w:pos="360"/>
          <w:tab w:val="num" w:pos="720"/>
        </w:tabs>
        <w:rPr>
          <w:rFonts w:ascii="Arial" w:hAnsi="Arial" w:cs="Arial"/>
        </w:rPr>
      </w:pPr>
      <w:r w:rsidRPr="001061F5">
        <w:rPr>
          <w:rFonts w:ascii="Arial" w:hAnsi="Arial" w:cs="Arial"/>
        </w:rPr>
        <w:t>Getting Tough on Serious Violent Crime</w:t>
      </w:r>
    </w:p>
    <w:p w14:paraId="40247848" w14:textId="77777777" w:rsidR="00F4690A" w:rsidRPr="001061F5" w:rsidRDefault="00F4690A" w:rsidP="00F4690A">
      <w:pPr>
        <w:numPr>
          <w:ilvl w:val="0"/>
          <w:numId w:val="11"/>
        </w:numPr>
        <w:tabs>
          <w:tab w:val="clear" w:pos="360"/>
          <w:tab w:val="num" w:pos="720"/>
        </w:tabs>
        <w:rPr>
          <w:rFonts w:ascii="Arial" w:hAnsi="Arial" w:cs="Arial"/>
        </w:rPr>
      </w:pPr>
      <w:r w:rsidRPr="001061F5">
        <w:rPr>
          <w:rFonts w:ascii="Arial" w:hAnsi="Arial" w:cs="Arial"/>
        </w:rPr>
        <w:t>Rebuilding Trust and Confidence in Policing</w:t>
      </w:r>
    </w:p>
    <w:p w14:paraId="70FC5BAA" w14:textId="5092976A" w:rsidR="00F4690A" w:rsidRPr="001061F5" w:rsidRDefault="00F4690A" w:rsidP="00F4690A">
      <w:pPr>
        <w:rPr>
          <w:rFonts w:ascii="Arial" w:hAnsi="Arial" w:cs="Arial"/>
        </w:rPr>
      </w:pPr>
      <w:r w:rsidRPr="001061F5">
        <w:rPr>
          <w:rFonts w:ascii="Arial" w:hAnsi="Arial" w:cs="Arial"/>
        </w:rPr>
        <w:t xml:space="preserve">In December 2025 the Ministry of Justice announced a 2 year funding commitment to PCC's including continuation of the additional grant funding to support victims of Domestic Abuse and Sexual Violence specifically.  The MOJ also confirmed the continuation of the arrangements for RASASF paid direct to providers under previous arrangements.  </w:t>
      </w:r>
    </w:p>
    <w:p w14:paraId="3DBE7FC3" w14:textId="45EBE872" w:rsidR="007B54B9" w:rsidRPr="007D204F" w:rsidRDefault="00F4690A" w:rsidP="007B54B9">
      <w:pPr>
        <w:rPr>
          <w:rFonts w:ascii="Arial" w:hAnsi="Arial" w:cs="Arial"/>
        </w:rPr>
      </w:pPr>
      <w:r w:rsidRPr="001061F5">
        <w:rPr>
          <w:rFonts w:ascii="Arial" w:hAnsi="Arial" w:cs="Arial"/>
        </w:rPr>
        <w:t xml:space="preserve">In 2024 the OPCC supported an independent assessment of </w:t>
      </w:r>
      <w:proofErr w:type="spellStart"/>
      <w:r w:rsidRPr="001061F5">
        <w:rPr>
          <w:rFonts w:ascii="Arial" w:hAnsi="Arial" w:cs="Arial"/>
        </w:rPr>
        <w:t>victims</w:t>
      </w:r>
      <w:proofErr w:type="spellEnd"/>
      <w:r w:rsidRPr="001061F5">
        <w:rPr>
          <w:rFonts w:ascii="Arial" w:hAnsi="Arial" w:cs="Arial"/>
        </w:rPr>
        <w:t xml:space="preserve"> needs, and whilst the PCC had been funding counselling provision to victims of DA / SV for a number of years this identified further investment was recommended to meet increasing demand.  As such the PCC have made the decision to run a competitive grants round with ringfenced funding to DA and SV Counselling and Therapeutic Services</w:t>
      </w:r>
      <w:r w:rsidR="007B54B9" w:rsidRPr="001061F5">
        <w:rPr>
          <w:rFonts w:ascii="Arial" w:hAnsi="Arial" w:cs="Arial"/>
        </w:rPr>
        <w:t xml:space="preserve"> for 2 year delivery of services.</w:t>
      </w:r>
    </w:p>
    <w:p w14:paraId="5A81686F" w14:textId="15B0E143" w:rsidR="00F4690A" w:rsidRPr="00F4690A" w:rsidRDefault="00F4690A" w:rsidP="007B54B9">
      <w:pPr>
        <w:rPr>
          <w:rFonts w:ascii="Arial" w:hAnsi="Arial" w:cs="Arial"/>
          <w:b/>
          <w:bCs/>
        </w:rPr>
      </w:pPr>
      <w:r w:rsidRPr="00F4690A">
        <w:rPr>
          <w:rFonts w:ascii="Arial" w:hAnsi="Arial" w:cs="Arial"/>
          <w:b/>
          <w:bCs/>
        </w:rPr>
        <w:t>2. Objectives of the Grant</w:t>
      </w:r>
    </w:p>
    <w:p w14:paraId="6A94B5E5" w14:textId="33B2F0DB" w:rsidR="007B54B9" w:rsidRPr="001061F5" w:rsidRDefault="007B54B9" w:rsidP="007B54B9">
      <w:pPr>
        <w:rPr>
          <w:rFonts w:ascii="Arial" w:hAnsi="Arial" w:cs="Arial"/>
        </w:rPr>
      </w:pPr>
      <w:r w:rsidRPr="001061F5">
        <w:rPr>
          <w:rFonts w:ascii="Arial" w:hAnsi="Arial" w:cs="Arial"/>
        </w:rPr>
        <w:t xml:space="preserve">The purpose of the fund is to increase capacity in services delivering specialist therapeutic services to victims </w:t>
      </w:r>
      <w:r w:rsidR="00B43643">
        <w:rPr>
          <w:rFonts w:ascii="Arial" w:hAnsi="Arial" w:cs="Arial"/>
        </w:rPr>
        <w:t xml:space="preserve">survivors </w:t>
      </w:r>
      <w:r w:rsidRPr="001061F5">
        <w:rPr>
          <w:rFonts w:ascii="Arial" w:hAnsi="Arial" w:cs="Arial"/>
        </w:rPr>
        <w:t xml:space="preserve">of </w:t>
      </w:r>
      <w:r w:rsidR="00B43643">
        <w:rPr>
          <w:rFonts w:ascii="Arial" w:hAnsi="Arial" w:cs="Arial"/>
        </w:rPr>
        <w:t>s</w:t>
      </w:r>
      <w:r w:rsidRPr="001061F5">
        <w:rPr>
          <w:rFonts w:ascii="Arial" w:hAnsi="Arial" w:cs="Arial"/>
        </w:rPr>
        <w:t xml:space="preserve">exual </w:t>
      </w:r>
      <w:r w:rsidR="00B43643">
        <w:rPr>
          <w:rFonts w:ascii="Arial" w:hAnsi="Arial" w:cs="Arial"/>
        </w:rPr>
        <w:t>v</w:t>
      </w:r>
      <w:r w:rsidRPr="001061F5">
        <w:rPr>
          <w:rFonts w:ascii="Arial" w:hAnsi="Arial" w:cs="Arial"/>
        </w:rPr>
        <w:t xml:space="preserve">iolence </w:t>
      </w:r>
      <w:r w:rsidR="00B43643">
        <w:rPr>
          <w:rFonts w:ascii="Arial" w:hAnsi="Arial" w:cs="Arial"/>
        </w:rPr>
        <w:t>and / or d</w:t>
      </w:r>
      <w:r w:rsidRPr="001061F5">
        <w:rPr>
          <w:rFonts w:ascii="Arial" w:hAnsi="Arial" w:cs="Arial"/>
        </w:rPr>
        <w:t xml:space="preserve">omestic </w:t>
      </w:r>
      <w:r w:rsidR="00B43643">
        <w:rPr>
          <w:rFonts w:ascii="Arial" w:hAnsi="Arial" w:cs="Arial"/>
        </w:rPr>
        <w:t>a</w:t>
      </w:r>
      <w:r w:rsidRPr="001061F5">
        <w:rPr>
          <w:rFonts w:ascii="Arial" w:hAnsi="Arial" w:cs="Arial"/>
        </w:rPr>
        <w:t>buse.</w:t>
      </w:r>
    </w:p>
    <w:p w14:paraId="31905429" w14:textId="09039C6D" w:rsidR="00F4690A" w:rsidRPr="00F4690A" w:rsidRDefault="007B54B9" w:rsidP="007B54B9">
      <w:pPr>
        <w:rPr>
          <w:rFonts w:ascii="Arial" w:hAnsi="Arial" w:cs="Arial"/>
        </w:rPr>
      </w:pPr>
      <w:r w:rsidRPr="001061F5">
        <w:rPr>
          <w:rFonts w:ascii="Arial" w:hAnsi="Arial" w:cs="Arial"/>
        </w:rPr>
        <w:t>Key objectives</w:t>
      </w:r>
      <w:r w:rsidR="00F4690A" w:rsidRPr="00F4690A">
        <w:rPr>
          <w:rFonts w:ascii="Arial" w:hAnsi="Arial" w:cs="Arial"/>
        </w:rPr>
        <w:t>:</w:t>
      </w:r>
    </w:p>
    <w:p w14:paraId="7D60A14A" w14:textId="581AD53F" w:rsidR="007B54B9" w:rsidRPr="001061F5" w:rsidRDefault="007B54B9" w:rsidP="007B54B9">
      <w:pPr>
        <w:numPr>
          <w:ilvl w:val="0"/>
          <w:numId w:val="11"/>
        </w:numPr>
        <w:tabs>
          <w:tab w:val="clear" w:pos="360"/>
          <w:tab w:val="num" w:pos="720"/>
        </w:tabs>
        <w:rPr>
          <w:rFonts w:ascii="Arial" w:hAnsi="Arial" w:cs="Arial"/>
        </w:rPr>
      </w:pPr>
      <w:r w:rsidRPr="001061F5">
        <w:rPr>
          <w:rFonts w:ascii="Arial" w:hAnsi="Arial" w:cs="Arial"/>
        </w:rPr>
        <w:t>Complement not duplicate the delivery of the services under the RASASF (currently delivered by Birchall Trust in Lancashire)</w:t>
      </w:r>
    </w:p>
    <w:p w14:paraId="08F9855C" w14:textId="3E5C7E28" w:rsidR="00F4690A" w:rsidRPr="00F4690A" w:rsidRDefault="00F4690A" w:rsidP="007B54B9">
      <w:pPr>
        <w:numPr>
          <w:ilvl w:val="0"/>
          <w:numId w:val="11"/>
        </w:numPr>
        <w:tabs>
          <w:tab w:val="clear" w:pos="360"/>
          <w:tab w:val="num" w:pos="720"/>
        </w:tabs>
        <w:rPr>
          <w:rFonts w:ascii="Arial" w:hAnsi="Arial" w:cs="Arial"/>
        </w:rPr>
      </w:pPr>
      <w:r w:rsidRPr="00F4690A">
        <w:rPr>
          <w:rFonts w:ascii="Arial" w:hAnsi="Arial" w:cs="Arial"/>
        </w:rPr>
        <w:t>Increase availability of specialist, trauma</w:t>
      </w:r>
      <w:r w:rsidRPr="00F4690A">
        <w:rPr>
          <w:rFonts w:ascii="Arial" w:hAnsi="Arial" w:cs="Arial"/>
        </w:rPr>
        <w:noBreakHyphen/>
        <w:t>informed counselling for victims and survivors.</w:t>
      </w:r>
    </w:p>
    <w:p w14:paraId="677DD371" w14:textId="77777777" w:rsidR="00F4690A" w:rsidRPr="00F4690A" w:rsidRDefault="00F4690A" w:rsidP="007B54B9">
      <w:pPr>
        <w:numPr>
          <w:ilvl w:val="0"/>
          <w:numId w:val="11"/>
        </w:numPr>
        <w:tabs>
          <w:tab w:val="clear" w:pos="360"/>
          <w:tab w:val="num" w:pos="720"/>
        </w:tabs>
        <w:rPr>
          <w:rFonts w:ascii="Arial" w:hAnsi="Arial" w:cs="Arial"/>
        </w:rPr>
      </w:pPr>
      <w:r w:rsidRPr="00F4690A">
        <w:rPr>
          <w:rFonts w:ascii="Arial" w:hAnsi="Arial" w:cs="Arial"/>
        </w:rPr>
        <w:t>Reduce waiting times for therapeutic support, particularly for those experiencing significant risk or complex trauma.</w:t>
      </w:r>
    </w:p>
    <w:p w14:paraId="612578A8" w14:textId="77777777" w:rsidR="00F4690A" w:rsidRPr="00F4690A" w:rsidRDefault="00F4690A" w:rsidP="007B54B9">
      <w:pPr>
        <w:numPr>
          <w:ilvl w:val="0"/>
          <w:numId w:val="11"/>
        </w:numPr>
        <w:tabs>
          <w:tab w:val="clear" w:pos="360"/>
          <w:tab w:val="num" w:pos="720"/>
        </w:tabs>
        <w:rPr>
          <w:rFonts w:ascii="Arial" w:hAnsi="Arial" w:cs="Arial"/>
        </w:rPr>
      </w:pPr>
      <w:r w:rsidRPr="00F4690A">
        <w:rPr>
          <w:rFonts w:ascii="Arial" w:hAnsi="Arial" w:cs="Arial"/>
        </w:rPr>
        <w:t>Improve accessibility for underrepresented or marginalised groups.</w:t>
      </w:r>
    </w:p>
    <w:p w14:paraId="151F201A" w14:textId="77777777" w:rsidR="00F4690A" w:rsidRPr="001061F5" w:rsidRDefault="00F4690A" w:rsidP="007B54B9">
      <w:pPr>
        <w:numPr>
          <w:ilvl w:val="0"/>
          <w:numId w:val="11"/>
        </w:numPr>
        <w:tabs>
          <w:tab w:val="clear" w:pos="360"/>
          <w:tab w:val="num" w:pos="720"/>
        </w:tabs>
        <w:rPr>
          <w:rFonts w:ascii="Arial" w:hAnsi="Arial" w:cs="Arial"/>
        </w:rPr>
      </w:pPr>
      <w:r w:rsidRPr="00F4690A">
        <w:rPr>
          <w:rFonts w:ascii="Arial" w:hAnsi="Arial" w:cs="Arial"/>
        </w:rPr>
        <w:t>Support sustainable delivery models that complement statutory and voluntary sector provision.</w:t>
      </w:r>
    </w:p>
    <w:p w14:paraId="2E358CD3" w14:textId="4A4B616E" w:rsidR="007B54B9" w:rsidRDefault="007B54B9" w:rsidP="007B54B9">
      <w:pPr>
        <w:numPr>
          <w:ilvl w:val="0"/>
          <w:numId w:val="11"/>
        </w:numPr>
        <w:tabs>
          <w:tab w:val="clear" w:pos="360"/>
          <w:tab w:val="num" w:pos="720"/>
        </w:tabs>
        <w:rPr>
          <w:rFonts w:ascii="Arial" w:hAnsi="Arial" w:cs="Arial"/>
        </w:rPr>
      </w:pPr>
      <w:r w:rsidRPr="562C94A3">
        <w:rPr>
          <w:rFonts w:ascii="Arial" w:hAnsi="Arial" w:cs="Arial"/>
        </w:rPr>
        <w:t>Accept referrals self-referrals as well as</w:t>
      </w:r>
      <w:r w:rsidR="009516AB" w:rsidRPr="562C94A3">
        <w:rPr>
          <w:rFonts w:ascii="Arial" w:hAnsi="Arial" w:cs="Arial"/>
        </w:rPr>
        <w:t xml:space="preserve"> </w:t>
      </w:r>
      <w:r w:rsidR="3145F87E" w:rsidRPr="562C94A3">
        <w:rPr>
          <w:rFonts w:ascii="Arial" w:hAnsi="Arial" w:cs="Arial"/>
        </w:rPr>
        <w:t>consent-based</w:t>
      </w:r>
      <w:r w:rsidRPr="562C94A3">
        <w:rPr>
          <w:rFonts w:ascii="Arial" w:hAnsi="Arial" w:cs="Arial"/>
        </w:rPr>
        <w:t xml:space="preserve"> referrals from organisations commissioned by the OPCC including the </w:t>
      </w:r>
      <w:r w:rsidR="00B43643" w:rsidRPr="562C94A3">
        <w:rPr>
          <w:rFonts w:ascii="Arial" w:hAnsi="Arial" w:cs="Arial"/>
        </w:rPr>
        <w:t>d</w:t>
      </w:r>
      <w:r w:rsidRPr="562C94A3">
        <w:rPr>
          <w:rFonts w:ascii="Arial" w:hAnsi="Arial" w:cs="Arial"/>
        </w:rPr>
        <w:t xml:space="preserve">omestic </w:t>
      </w:r>
      <w:r w:rsidR="00B43643" w:rsidRPr="562C94A3">
        <w:rPr>
          <w:rFonts w:ascii="Arial" w:hAnsi="Arial" w:cs="Arial"/>
        </w:rPr>
        <w:t>ab</w:t>
      </w:r>
      <w:r w:rsidRPr="562C94A3">
        <w:rPr>
          <w:rFonts w:ascii="Arial" w:hAnsi="Arial" w:cs="Arial"/>
        </w:rPr>
        <w:t xml:space="preserve">use </w:t>
      </w:r>
      <w:r w:rsidR="00DB52EA" w:rsidRPr="562C94A3">
        <w:rPr>
          <w:rFonts w:ascii="Arial" w:hAnsi="Arial" w:cs="Arial"/>
        </w:rPr>
        <w:t xml:space="preserve">IDVA </w:t>
      </w:r>
      <w:r w:rsidRPr="562C94A3">
        <w:rPr>
          <w:rFonts w:ascii="Arial" w:hAnsi="Arial" w:cs="Arial"/>
        </w:rPr>
        <w:t xml:space="preserve">and </w:t>
      </w:r>
      <w:r w:rsidR="00B43643" w:rsidRPr="562C94A3">
        <w:rPr>
          <w:rFonts w:ascii="Arial" w:hAnsi="Arial" w:cs="Arial"/>
        </w:rPr>
        <w:t>s</w:t>
      </w:r>
      <w:r w:rsidRPr="562C94A3">
        <w:rPr>
          <w:rFonts w:ascii="Arial" w:hAnsi="Arial" w:cs="Arial"/>
        </w:rPr>
        <w:t xml:space="preserve">exual </w:t>
      </w:r>
      <w:r w:rsidR="00B43643" w:rsidRPr="562C94A3">
        <w:rPr>
          <w:rFonts w:ascii="Arial" w:hAnsi="Arial" w:cs="Arial"/>
        </w:rPr>
        <w:t>v</w:t>
      </w:r>
      <w:r w:rsidRPr="562C94A3">
        <w:rPr>
          <w:rFonts w:ascii="Arial" w:hAnsi="Arial" w:cs="Arial"/>
        </w:rPr>
        <w:t xml:space="preserve">iolence </w:t>
      </w:r>
      <w:r w:rsidR="00DB52EA" w:rsidRPr="562C94A3">
        <w:rPr>
          <w:rFonts w:ascii="Arial" w:hAnsi="Arial" w:cs="Arial"/>
        </w:rPr>
        <w:t xml:space="preserve">ISVA </w:t>
      </w:r>
      <w:r w:rsidRPr="562C94A3">
        <w:rPr>
          <w:rFonts w:ascii="Arial" w:hAnsi="Arial" w:cs="Arial"/>
        </w:rPr>
        <w:t>Service providers</w:t>
      </w:r>
      <w:r w:rsidR="00DB52EA" w:rsidRPr="562C94A3">
        <w:rPr>
          <w:rFonts w:ascii="Arial" w:hAnsi="Arial" w:cs="Arial"/>
        </w:rPr>
        <w:t xml:space="preserve"> and the Sexual Assault Referral Centre (SARC)</w:t>
      </w:r>
      <w:r w:rsidRPr="562C94A3">
        <w:rPr>
          <w:rFonts w:ascii="Arial" w:hAnsi="Arial" w:cs="Arial"/>
        </w:rPr>
        <w:t>.</w:t>
      </w:r>
    </w:p>
    <w:p w14:paraId="6403E5DE" w14:textId="0708D8F5" w:rsidR="0025030D" w:rsidRPr="00F4690A" w:rsidRDefault="0025030D" w:rsidP="007B54B9">
      <w:pPr>
        <w:numPr>
          <w:ilvl w:val="0"/>
          <w:numId w:val="11"/>
        </w:numPr>
        <w:tabs>
          <w:tab w:val="clear" w:pos="360"/>
          <w:tab w:val="num" w:pos="720"/>
        </w:tabs>
        <w:rPr>
          <w:rFonts w:ascii="Arial" w:hAnsi="Arial" w:cs="Arial"/>
        </w:rPr>
      </w:pPr>
      <w:r w:rsidRPr="562C94A3">
        <w:rPr>
          <w:rFonts w:ascii="Arial" w:hAnsi="Arial" w:cs="Arial"/>
        </w:rPr>
        <w:t>Counselling should be free at the point of access.</w:t>
      </w:r>
    </w:p>
    <w:p w14:paraId="661F32ED" w14:textId="77777777" w:rsidR="00F4690A" w:rsidRPr="00F4690A" w:rsidRDefault="00F4690A" w:rsidP="007B54B9">
      <w:pPr>
        <w:rPr>
          <w:rFonts w:ascii="Arial" w:hAnsi="Arial" w:cs="Arial"/>
          <w:b/>
          <w:bCs/>
        </w:rPr>
      </w:pPr>
      <w:r w:rsidRPr="00F4690A">
        <w:rPr>
          <w:rFonts w:ascii="Arial" w:hAnsi="Arial" w:cs="Arial"/>
          <w:b/>
          <w:bCs/>
        </w:rPr>
        <w:lastRenderedPageBreak/>
        <w:t>3. Who Can Apply</w:t>
      </w:r>
    </w:p>
    <w:p w14:paraId="55F191C0" w14:textId="77777777" w:rsidR="00F4690A" w:rsidRPr="00F4690A" w:rsidRDefault="00F4690A" w:rsidP="00F4690A">
      <w:pPr>
        <w:spacing w:before="100" w:beforeAutospacing="1" w:after="100" w:afterAutospacing="1" w:line="300" w:lineRule="atLeast"/>
        <w:rPr>
          <w:rFonts w:ascii="Arial" w:eastAsia="Times New Roman" w:hAnsi="Arial" w:cs="Arial"/>
          <w:kern w:val="0"/>
          <w:sz w:val="21"/>
          <w:szCs w:val="21"/>
          <w:lang w:eastAsia="en-GB"/>
          <w14:ligatures w14:val="none"/>
        </w:rPr>
      </w:pPr>
      <w:r w:rsidRPr="00F4690A">
        <w:rPr>
          <w:rFonts w:ascii="Arial" w:eastAsia="Times New Roman" w:hAnsi="Arial" w:cs="Arial"/>
          <w:kern w:val="0"/>
          <w:sz w:val="21"/>
          <w:szCs w:val="21"/>
          <w:lang w:eastAsia="en-GB"/>
          <w14:ligatures w14:val="none"/>
        </w:rPr>
        <w:t>Applications are welcome from:</w:t>
      </w:r>
    </w:p>
    <w:p w14:paraId="7D178123" w14:textId="604BE5DE" w:rsidR="001061F5"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Specialist sexual violence and/or domestic abuse organisations</w:t>
      </w:r>
      <w:r w:rsidR="001061F5" w:rsidRPr="00E3635D">
        <w:rPr>
          <w:rFonts w:ascii="Arial" w:hAnsi="Arial" w:cs="Arial"/>
        </w:rPr>
        <w:t>, organisations should demonstrate their specialism through evidencing quality marks / accreditation</w:t>
      </w:r>
      <w:r w:rsidRPr="00F4690A">
        <w:rPr>
          <w:rFonts w:ascii="Arial" w:hAnsi="Arial" w:cs="Arial"/>
        </w:rPr>
        <w:t>.</w:t>
      </w:r>
    </w:p>
    <w:p w14:paraId="2BECA7FD" w14:textId="487DFCC0" w:rsidR="00F4690A"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Voluntary, community, and social enterprise (VCSE) organisations with demonstrable experience in trauma</w:t>
      </w:r>
      <w:r w:rsidRPr="00F4690A">
        <w:rPr>
          <w:rFonts w:ascii="Arial" w:hAnsi="Arial" w:cs="Arial"/>
        </w:rPr>
        <w:noBreakHyphen/>
        <w:t>informed therapeutic support</w:t>
      </w:r>
      <w:r w:rsidR="001061F5" w:rsidRPr="00E3635D">
        <w:rPr>
          <w:rFonts w:ascii="Arial" w:hAnsi="Arial" w:cs="Arial"/>
        </w:rPr>
        <w:t xml:space="preserve"> related to Domestic Abuse or Sexual Violence</w:t>
      </w:r>
      <w:r w:rsidRPr="00F4690A">
        <w:rPr>
          <w:rFonts w:ascii="Arial" w:hAnsi="Arial" w:cs="Arial"/>
        </w:rPr>
        <w:t>.</w:t>
      </w:r>
    </w:p>
    <w:p w14:paraId="30F56DDA" w14:textId="677A0F6D" w:rsidR="00F4690A"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Partnerships or consortia, where a lead organisation is identified</w:t>
      </w:r>
      <w:r w:rsidR="001061F5" w:rsidRPr="00E3635D">
        <w:rPr>
          <w:rFonts w:ascii="Arial" w:hAnsi="Arial" w:cs="Arial"/>
        </w:rPr>
        <w:t xml:space="preserve"> that fits the above criteria</w:t>
      </w:r>
      <w:r w:rsidRPr="00F4690A">
        <w:rPr>
          <w:rFonts w:ascii="Arial" w:hAnsi="Arial" w:cs="Arial"/>
        </w:rPr>
        <w:t>.</w:t>
      </w:r>
    </w:p>
    <w:p w14:paraId="52840EF9" w14:textId="77777777" w:rsidR="00F4690A" w:rsidRPr="00F4690A" w:rsidRDefault="00F4690A" w:rsidP="00F4690A">
      <w:pPr>
        <w:spacing w:before="100" w:beforeAutospacing="1" w:after="100" w:afterAutospacing="1" w:line="300" w:lineRule="atLeast"/>
        <w:rPr>
          <w:rFonts w:ascii="Arial" w:eastAsia="Times New Roman" w:hAnsi="Arial" w:cs="Arial"/>
          <w:kern w:val="0"/>
          <w:sz w:val="21"/>
          <w:szCs w:val="21"/>
          <w:lang w:eastAsia="en-GB"/>
          <w14:ligatures w14:val="none"/>
        </w:rPr>
      </w:pPr>
      <w:r w:rsidRPr="00F4690A">
        <w:rPr>
          <w:rFonts w:ascii="Arial" w:eastAsia="Times New Roman" w:hAnsi="Arial" w:cs="Arial"/>
          <w:kern w:val="0"/>
          <w:sz w:val="21"/>
          <w:szCs w:val="21"/>
          <w:lang w:eastAsia="en-GB"/>
          <w14:ligatures w14:val="none"/>
        </w:rPr>
        <w:t>Eligible organisations must:</w:t>
      </w:r>
    </w:p>
    <w:p w14:paraId="2F3F4AF0" w14:textId="77777777" w:rsidR="00F4690A"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Be formally constituted and financially stable.</w:t>
      </w:r>
    </w:p>
    <w:p w14:paraId="2A2AA2EB" w14:textId="77777777" w:rsidR="00F4690A"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Demonstrate appropriate clinical governance and safeguarding policies.</w:t>
      </w:r>
    </w:p>
    <w:p w14:paraId="40B8E105" w14:textId="5F80BCD4" w:rsidR="00F4690A" w:rsidRPr="00E3635D" w:rsidRDefault="001061F5" w:rsidP="00E3635D">
      <w:pPr>
        <w:numPr>
          <w:ilvl w:val="0"/>
          <w:numId w:val="11"/>
        </w:numPr>
        <w:tabs>
          <w:tab w:val="clear" w:pos="360"/>
          <w:tab w:val="num" w:pos="720"/>
        </w:tabs>
        <w:rPr>
          <w:rFonts w:ascii="Arial" w:hAnsi="Arial" w:cs="Arial"/>
        </w:rPr>
      </w:pPr>
      <w:r w:rsidRPr="562C94A3">
        <w:rPr>
          <w:rFonts w:ascii="Arial" w:hAnsi="Arial" w:cs="Arial"/>
        </w:rPr>
        <w:t>Demonstrate how use of funding will expand existing</w:t>
      </w:r>
      <w:r w:rsidR="00F4690A" w:rsidRPr="562C94A3">
        <w:rPr>
          <w:rFonts w:ascii="Arial" w:hAnsi="Arial" w:cs="Arial"/>
        </w:rPr>
        <w:t xml:space="preserve"> qualified counsellors</w:t>
      </w:r>
      <w:r w:rsidR="4984DA9E" w:rsidRPr="562C94A3">
        <w:rPr>
          <w:rFonts w:ascii="Arial" w:hAnsi="Arial" w:cs="Arial"/>
        </w:rPr>
        <w:t xml:space="preserve">, </w:t>
      </w:r>
      <w:r w:rsidR="00F4690A" w:rsidRPr="562C94A3">
        <w:rPr>
          <w:rFonts w:ascii="Arial" w:hAnsi="Arial" w:cs="Arial"/>
        </w:rPr>
        <w:t>therapists</w:t>
      </w:r>
      <w:r w:rsidRPr="562C94A3">
        <w:rPr>
          <w:rFonts w:ascii="Arial" w:hAnsi="Arial" w:cs="Arial"/>
        </w:rPr>
        <w:t xml:space="preserve"> </w:t>
      </w:r>
      <w:r w:rsidR="7E062126" w:rsidRPr="562C94A3">
        <w:rPr>
          <w:rFonts w:ascii="Arial" w:hAnsi="Arial" w:cs="Arial"/>
        </w:rPr>
        <w:t xml:space="preserve">or student counsellors through appropriate supervision and support </w:t>
      </w:r>
      <w:r w:rsidRPr="562C94A3">
        <w:rPr>
          <w:rFonts w:ascii="Arial" w:hAnsi="Arial" w:cs="Arial"/>
        </w:rPr>
        <w:t>to</w:t>
      </w:r>
      <w:r w:rsidR="00F4690A" w:rsidRPr="562C94A3">
        <w:rPr>
          <w:rFonts w:ascii="Arial" w:hAnsi="Arial" w:cs="Arial"/>
        </w:rPr>
        <w:t xml:space="preserve"> deliver the intervention</w:t>
      </w:r>
      <w:r w:rsidR="2E73DFE6" w:rsidRPr="562C94A3">
        <w:rPr>
          <w:rFonts w:ascii="Arial" w:hAnsi="Arial" w:cs="Arial"/>
        </w:rPr>
        <w:t>.</w:t>
      </w:r>
    </w:p>
    <w:p w14:paraId="16B2DCD5" w14:textId="0E8278AF" w:rsidR="007B54B9" w:rsidRDefault="007B54B9" w:rsidP="00E3635D">
      <w:pPr>
        <w:numPr>
          <w:ilvl w:val="0"/>
          <w:numId w:val="11"/>
        </w:numPr>
        <w:tabs>
          <w:tab w:val="clear" w:pos="360"/>
          <w:tab w:val="num" w:pos="720"/>
        </w:tabs>
        <w:rPr>
          <w:rFonts w:ascii="Arial" w:hAnsi="Arial" w:cs="Arial"/>
        </w:rPr>
      </w:pPr>
      <w:r w:rsidRPr="00E3635D">
        <w:rPr>
          <w:rFonts w:ascii="Arial" w:hAnsi="Arial" w:cs="Arial"/>
        </w:rPr>
        <w:t>Be based in Lancashire and deliver services to victims / survivors living or working in Lancashire.</w:t>
      </w:r>
    </w:p>
    <w:p w14:paraId="55CB4A00" w14:textId="60809F04" w:rsidR="00E3635D" w:rsidRDefault="00E3635D" w:rsidP="00E3635D">
      <w:pPr>
        <w:numPr>
          <w:ilvl w:val="0"/>
          <w:numId w:val="11"/>
        </w:numPr>
        <w:tabs>
          <w:tab w:val="clear" w:pos="360"/>
          <w:tab w:val="num" w:pos="720"/>
        </w:tabs>
        <w:rPr>
          <w:rFonts w:ascii="Arial" w:hAnsi="Arial" w:cs="Arial"/>
        </w:rPr>
      </w:pPr>
      <w:r>
        <w:rPr>
          <w:rFonts w:ascii="Arial" w:hAnsi="Arial" w:cs="Arial"/>
        </w:rPr>
        <w:t xml:space="preserve">Adhere to CPS guidance for pre-trial therapy for </w:t>
      </w:r>
      <w:r w:rsidRPr="00E3635D">
        <w:rPr>
          <w:rFonts w:ascii="Arial" w:hAnsi="Arial" w:cs="Arial"/>
        </w:rPr>
        <w:t>Violence Against Women and Girls (VAWG) and Child Abuse</w:t>
      </w:r>
      <w:r>
        <w:rPr>
          <w:rFonts w:ascii="Arial" w:hAnsi="Arial" w:cs="Arial"/>
        </w:rPr>
        <w:t xml:space="preserve"> cases.</w:t>
      </w:r>
    </w:p>
    <w:p w14:paraId="03E093F3" w14:textId="77777777" w:rsidR="00B43643" w:rsidRPr="00F4690A" w:rsidRDefault="00B43643" w:rsidP="00AC32C7">
      <w:pPr>
        <w:rPr>
          <w:rFonts w:ascii="Arial" w:hAnsi="Arial" w:cs="Arial"/>
        </w:rPr>
      </w:pPr>
    </w:p>
    <w:p w14:paraId="725687F9" w14:textId="77777777" w:rsidR="00E3635D" w:rsidRDefault="00F4690A" w:rsidP="00E3635D">
      <w:pPr>
        <w:rPr>
          <w:rFonts w:ascii="Arial" w:hAnsi="Arial" w:cs="Arial"/>
          <w:b/>
          <w:bCs/>
        </w:rPr>
      </w:pPr>
      <w:r w:rsidRPr="00F4690A">
        <w:rPr>
          <w:rFonts w:ascii="Arial" w:hAnsi="Arial" w:cs="Arial"/>
          <w:b/>
          <w:bCs/>
        </w:rPr>
        <w:t>4. What the Grant Can Fund</w:t>
      </w:r>
    </w:p>
    <w:p w14:paraId="228DD725" w14:textId="599870AC" w:rsidR="00F4690A" w:rsidRPr="00F4690A" w:rsidRDefault="00F4690A" w:rsidP="00E3635D">
      <w:pPr>
        <w:rPr>
          <w:rFonts w:ascii="Arial" w:hAnsi="Arial" w:cs="Arial"/>
          <w:b/>
          <w:bCs/>
        </w:rPr>
      </w:pPr>
      <w:r w:rsidRPr="00F4690A">
        <w:rPr>
          <w:rFonts w:ascii="Arial" w:hAnsi="Arial" w:cs="Arial"/>
        </w:rPr>
        <w:t>Funds may be used for:</w:t>
      </w:r>
    </w:p>
    <w:p w14:paraId="36836814" w14:textId="12C3BC4B" w:rsidR="00F4690A"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Delivery of trauma</w:t>
      </w:r>
      <w:r w:rsidRPr="00F4690A">
        <w:rPr>
          <w:rFonts w:ascii="Arial" w:hAnsi="Arial" w:cs="Arial"/>
        </w:rPr>
        <w:noBreakHyphen/>
      </w:r>
      <w:r w:rsidR="00E3635D" w:rsidRPr="00E3635D">
        <w:rPr>
          <w:rFonts w:ascii="Arial" w:hAnsi="Arial" w:cs="Arial"/>
        </w:rPr>
        <w:t>focused</w:t>
      </w:r>
      <w:r w:rsidRPr="00F4690A">
        <w:rPr>
          <w:rFonts w:ascii="Arial" w:hAnsi="Arial" w:cs="Arial"/>
        </w:rPr>
        <w:t xml:space="preserve"> counselling and therapeutic support.</w:t>
      </w:r>
    </w:p>
    <w:p w14:paraId="6A3CA599" w14:textId="77777777" w:rsidR="00F4690A"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Additional counselling hours to reduce waiting lists.</w:t>
      </w:r>
    </w:p>
    <w:p w14:paraId="33A9D2B9" w14:textId="77777777" w:rsidR="00F4690A"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Supervision and clinical governance.</w:t>
      </w:r>
    </w:p>
    <w:p w14:paraId="1505CB84" w14:textId="77777777" w:rsidR="00F4690A"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Outreach or accessibility initiatives (e.g., provision in community settings).</w:t>
      </w:r>
    </w:p>
    <w:p w14:paraId="1A5D454C" w14:textId="77777777" w:rsidR="00F4690A" w:rsidRPr="00F4690A" w:rsidRDefault="00F4690A" w:rsidP="00E3635D">
      <w:pPr>
        <w:numPr>
          <w:ilvl w:val="0"/>
          <w:numId w:val="11"/>
        </w:numPr>
        <w:tabs>
          <w:tab w:val="clear" w:pos="360"/>
          <w:tab w:val="num" w:pos="720"/>
        </w:tabs>
        <w:rPr>
          <w:rFonts w:ascii="Arial" w:hAnsi="Arial" w:cs="Arial"/>
        </w:rPr>
      </w:pPr>
      <w:r w:rsidRPr="00F4690A">
        <w:rPr>
          <w:rFonts w:ascii="Arial" w:hAnsi="Arial" w:cs="Arial"/>
        </w:rPr>
        <w:t>Training and development for staff and volunteers related to trauma-informed practice.</w:t>
      </w:r>
    </w:p>
    <w:p w14:paraId="0607E903" w14:textId="23DCDDC4" w:rsidR="009633F4" w:rsidRPr="00F4690A" w:rsidRDefault="00F4690A" w:rsidP="009633F4">
      <w:pPr>
        <w:numPr>
          <w:ilvl w:val="0"/>
          <w:numId w:val="11"/>
        </w:numPr>
        <w:tabs>
          <w:tab w:val="clear" w:pos="360"/>
          <w:tab w:val="num" w:pos="720"/>
        </w:tabs>
        <w:rPr>
          <w:rFonts w:ascii="Arial" w:hAnsi="Arial" w:cs="Arial"/>
        </w:rPr>
      </w:pPr>
      <w:r w:rsidRPr="00F4690A">
        <w:rPr>
          <w:rFonts w:ascii="Arial" w:hAnsi="Arial" w:cs="Arial"/>
        </w:rPr>
        <w:t>Reasonable management and administrative overheads.</w:t>
      </w:r>
    </w:p>
    <w:p w14:paraId="111E9D64" w14:textId="77777777" w:rsidR="00F4690A" w:rsidRPr="00F4690A" w:rsidRDefault="00F4690A" w:rsidP="00F4690A">
      <w:pPr>
        <w:spacing w:before="100" w:beforeAutospacing="1" w:after="100" w:afterAutospacing="1" w:line="300" w:lineRule="atLeast"/>
        <w:rPr>
          <w:rFonts w:ascii="Arial" w:eastAsia="Times New Roman" w:hAnsi="Arial" w:cs="Arial"/>
          <w:kern w:val="0"/>
          <w:sz w:val="21"/>
          <w:szCs w:val="21"/>
          <w:lang w:eastAsia="en-GB"/>
          <w14:ligatures w14:val="none"/>
        </w:rPr>
      </w:pPr>
      <w:r w:rsidRPr="00F4690A">
        <w:rPr>
          <w:rFonts w:ascii="Arial" w:eastAsia="Times New Roman" w:hAnsi="Arial" w:cs="Arial"/>
          <w:kern w:val="0"/>
          <w:sz w:val="21"/>
          <w:szCs w:val="21"/>
          <w:lang w:eastAsia="en-GB"/>
          <w14:ligatures w14:val="none"/>
        </w:rPr>
        <w:t xml:space="preserve">The grant </w:t>
      </w:r>
      <w:r w:rsidRPr="00F4690A">
        <w:rPr>
          <w:rFonts w:ascii="Arial" w:eastAsia="Times New Roman" w:hAnsi="Arial" w:cs="Arial"/>
          <w:b/>
          <w:bCs/>
          <w:kern w:val="0"/>
          <w:sz w:val="21"/>
          <w:szCs w:val="21"/>
          <w:lang w:eastAsia="en-GB"/>
          <w14:ligatures w14:val="none"/>
        </w:rPr>
        <w:t>cannot</w:t>
      </w:r>
      <w:r w:rsidRPr="00F4690A">
        <w:rPr>
          <w:rFonts w:ascii="Arial" w:eastAsia="Times New Roman" w:hAnsi="Arial" w:cs="Arial"/>
          <w:kern w:val="0"/>
          <w:sz w:val="21"/>
          <w:szCs w:val="21"/>
          <w:lang w:eastAsia="en-GB"/>
          <w14:ligatures w14:val="none"/>
        </w:rPr>
        <w:t xml:space="preserve"> be used to fund:</w:t>
      </w:r>
    </w:p>
    <w:p w14:paraId="5E88BD26"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Work unrelated to sexual violence or domestic abuse support.</w:t>
      </w:r>
    </w:p>
    <w:p w14:paraId="3ECD4102"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Capital costs not directly linked to service delivery.</w:t>
      </w:r>
    </w:p>
    <w:p w14:paraId="6343BA46"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lastRenderedPageBreak/>
        <w:t>Retrospective expenditure.</w:t>
      </w:r>
    </w:p>
    <w:p w14:paraId="387C9D1E" w14:textId="68E7B07B" w:rsidR="00B43643" w:rsidRDefault="00F4690A" w:rsidP="00AC32C7">
      <w:pPr>
        <w:numPr>
          <w:ilvl w:val="0"/>
          <w:numId w:val="11"/>
        </w:numPr>
        <w:tabs>
          <w:tab w:val="clear" w:pos="360"/>
          <w:tab w:val="num" w:pos="720"/>
        </w:tabs>
        <w:rPr>
          <w:rFonts w:ascii="Arial" w:hAnsi="Arial" w:cs="Arial"/>
        </w:rPr>
      </w:pPr>
      <w:r w:rsidRPr="00F4690A">
        <w:rPr>
          <w:rFonts w:ascii="Arial" w:hAnsi="Arial" w:cs="Arial"/>
        </w:rPr>
        <w:t>Political, campaigning, or lobbying activity.</w:t>
      </w:r>
    </w:p>
    <w:p w14:paraId="5AC9DC02" w14:textId="77777777" w:rsidR="00AC32C7" w:rsidRPr="00AC32C7" w:rsidRDefault="00AC32C7" w:rsidP="00AC32C7">
      <w:pPr>
        <w:ind w:left="360"/>
        <w:rPr>
          <w:rFonts w:ascii="Arial" w:hAnsi="Arial" w:cs="Arial"/>
        </w:rPr>
      </w:pPr>
    </w:p>
    <w:p w14:paraId="60D6DF86" w14:textId="77777777" w:rsidR="00F4690A" w:rsidRPr="00F4690A" w:rsidRDefault="00F4690A" w:rsidP="001061F5">
      <w:pPr>
        <w:rPr>
          <w:rFonts w:ascii="Arial" w:hAnsi="Arial" w:cs="Arial"/>
          <w:b/>
          <w:bCs/>
        </w:rPr>
      </w:pPr>
      <w:r w:rsidRPr="00F4690A">
        <w:rPr>
          <w:rFonts w:ascii="Arial" w:hAnsi="Arial" w:cs="Arial"/>
          <w:b/>
          <w:bCs/>
        </w:rPr>
        <w:t>6. Grant Value and Duration</w:t>
      </w:r>
    </w:p>
    <w:p w14:paraId="354AFB28" w14:textId="09B6525A"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 xml:space="preserve">Funding period: </w:t>
      </w:r>
      <w:r w:rsidR="007B54B9" w:rsidRPr="00B43643">
        <w:rPr>
          <w:rFonts w:ascii="Arial" w:hAnsi="Arial" w:cs="Arial"/>
        </w:rPr>
        <w:t>2 years</w:t>
      </w:r>
    </w:p>
    <w:p w14:paraId="1891F6D0" w14:textId="0816FD47" w:rsidR="00F4690A" w:rsidRPr="00B43643" w:rsidRDefault="00F4690A" w:rsidP="00B43643">
      <w:pPr>
        <w:numPr>
          <w:ilvl w:val="0"/>
          <w:numId w:val="11"/>
        </w:numPr>
        <w:tabs>
          <w:tab w:val="clear" w:pos="360"/>
          <w:tab w:val="num" w:pos="720"/>
        </w:tabs>
        <w:rPr>
          <w:rFonts w:ascii="Arial" w:hAnsi="Arial" w:cs="Arial"/>
        </w:rPr>
      </w:pPr>
      <w:r w:rsidRPr="00F4690A">
        <w:rPr>
          <w:rFonts w:ascii="Arial" w:hAnsi="Arial" w:cs="Arial"/>
        </w:rPr>
        <w:t xml:space="preserve">Delivery </w:t>
      </w:r>
      <w:r w:rsidR="001061F5" w:rsidRPr="00B43643">
        <w:rPr>
          <w:rFonts w:ascii="Arial" w:hAnsi="Arial" w:cs="Arial"/>
        </w:rPr>
        <w:t>period between 1st April 2026 – 31st March 2028 – second year grant award will be subject to satisfactory delivery of services and reporting.</w:t>
      </w:r>
    </w:p>
    <w:p w14:paraId="6238F014" w14:textId="6EA736F8" w:rsidR="002F211C" w:rsidRPr="002F211C" w:rsidRDefault="007B54B9" w:rsidP="002F211C">
      <w:pPr>
        <w:numPr>
          <w:ilvl w:val="0"/>
          <w:numId w:val="11"/>
        </w:numPr>
        <w:tabs>
          <w:tab w:val="clear" w:pos="360"/>
          <w:tab w:val="num" w:pos="720"/>
        </w:tabs>
        <w:rPr>
          <w:rFonts w:ascii="Arial" w:hAnsi="Arial" w:cs="Arial"/>
        </w:rPr>
      </w:pPr>
      <w:r w:rsidRPr="00B43643">
        <w:rPr>
          <w:rFonts w:ascii="Arial" w:hAnsi="Arial" w:cs="Arial"/>
        </w:rPr>
        <w:t xml:space="preserve">The total value of the grant </w:t>
      </w:r>
      <w:r w:rsidR="001061F5" w:rsidRPr="00B43643">
        <w:rPr>
          <w:rFonts w:ascii="Arial" w:hAnsi="Arial" w:cs="Arial"/>
        </w:rPr>
        <w:t xml:space="preserve">application </w:t>
      </w:r>
      <w:r w:rsidRPr="00B43643">
        <w:rPr>
          <w:rFonts w:ascii="Arial" w:hAnsi="Arial" w:cs="Arial"/>
        </w:rPr>
        <w:t>must not exceed 30% of organisational turnover</w:t>
      </w:r>
      <w:r w:rsidR="001061F5" w:rsidRPr="00B43643">
        <w:rPr>
          <w:rFonts w:ascii="Arial" w:hAnsi="Arial" w:cs="Arial"/>
        </w:rPr>
        <w:t>.</w:t>
      </w:r>
    </w:p>
    <w:p w14:paraId="228B5BB9" w14:textId="77777777" w:rsidR="0025030D" w:rsidRDefault="0025030D" w:rsidP="001061F5">
      <w:pPr>
        <w:rPr>
          <w:rFonts w:ascii="Arial" w:hAnsi="Arial" w:cs="Arial"/>
          <w:b/>
          <w:bCs/>
        </w:rPr>
      </w:pPr>
    </w:p>
    <w:p w14:paraId="32B655C4" w14:textId="16284929" w:rsidR="00F4690A" w:rsidRPr="00F4690A" w:rsidRDefault="00F4690A" w:rsidP="001061F5">
      <w:pPr>
        <w:rPr>
          <w:rFonts w:ascii="Arial" w:hAnsi="Arial" w:cs="Arial"/>
          <w:b/>
          <w:bCs/>
        </w:rPr>
      </w:pPr>
      <w:r w:rsidRPr="00F4690A">
        <w:rPr>
          <w:rFonts w:ascii="Arial" w:hAnsi="Arial" w:cs="Arial"/>
          <w:b/>
          <w:bCs/>
        </w:rPr>
        <w:t>7. Application Requirements</w:t>
      </w:r>
    </w:p>
    <w:p w14:paraId="18050FA1" w14:textId="77777777" w:rsidR="00F4690A" w:rsidRPr="00F4690A" w:rsidRDefault="00F4690A" w:rsidP="00DB52EA">
      <w:pPr>
        <w:spacing w:before="100" w:beforeAutospacing="1" w:after="100" w:afterAutospacing="1" w:line="300" w:lineRule="atLeast"/>
        <w:rPr>
          <w:rFonts w:ascii="Arial" w:eastAsia="Times New Roman" w:hAnsi="Arial" w:cs="Arial"/>
          <w:kern w:val="0"/>
          <w:sz w:val="21"/>
          <w:szCs w:val="21"/>
          <w:lang w:eastAsia="en-GB"/>
          <w14:ligatures w14:val="none"/>
        </w:rPr>
      </w:pPr>
      <w:r w:rsidRPr="00F4690A">
        <w:rPr>
          <w:rFonts w:ascii="Arial" w:eastAsia="Times New Roman" w:hAnsi="Arial" w:cs="Arial"/>
          <w:kern w:val="0"/>
          <w:sz w:val="21"/>
          <w:szCs w:val="21"/>
          <w:lang w:eastAsia="en-GB"/>
          <w14:ligatures w14:val="none"/>
        </w:rPr>
        <w:t>Applicants must submit:</w:t>
      </w:r>
    </w:p>
    <w:p w14:paraId="15355BA6" w14:textId="464E2068" w:rsidR="00F4690A" w:rsidRPr="00F4690A" w:rsidRDefault="00DB52EA" w:rsidP="00B43643">
      <w:pPr>
        <w:numPr>
          <w:ilvl w:val="0"/>
          <w:numId w:val="11"/>
        </w:numPr>
        <w:tabs>
          <w:tab w:val="clear" w:pos="360"/>
          <w:tab w:val="num" w:pos="720"/>
        </w:tabs>
        <w:rPr>
          <w:rFonts w:ascii="Arial" w:hAnsi="Arial" w:cs="Arial"/>
        </w:rPr>
      </w:pPr>
      <w:r w:rsidRPr="00B43643">
        <w:rPr>
          <w:rFonts w:ascii="Arial" w:hAnsi="Arial" w:cs="Arial"/>
        </w:rPr>
        <w:t>Com</w:t>
      </w:r>
      <w:r w:rsidR="00F4690A" w:rsidRPr="00F4690A">
        <w:rPr>
          <w:rFonts w:ascii="Arial" w:hAnsi="Arial" w:cs="Arial"/>
        </w:rPr>
        <w:t>pleted application form</w:t>
      </w:r>
      <w:r w:rsidRPr="00B43643">
        <w:rPr>
          <w:rFonts w:ascii="Arial" w:hAnsi="Arial" w:cs="Arial"/>
        </w:rPr>
        <w:t xml:space="preserve"> using Sums online platform</w:t>
      </w:r>
      <w:r w:rsidR="00F4690A" w:rsidRPr="00F4690A">
        <w:rPr>
          <w:rFonts w:ascii="Arial" w:hAnsi="Arial" w:cs="Arial"/>
        </w:rPr>
        <w:t>.</w:t>
      </w:r>
    </w:p>
    <w:p w14:paraId="3B099FB6"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A proposed delivery plan and timeline.</w:t>
      </w:r>
    </w:p>
    <w:p w14:paraId="7B40C9A1" w14:textId="2260E8E0"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 xml:space="preserve">Evidence of </w:t>
      </w:r>
      <w:r w:rsidR="009516AB">
        <w:rPr>
          <w:rFonts w:ascii="Arial" w:hAnsi="Arial" w:cs="Arial"/>
        </w:rPr>
        <w:t xml:space="preserve">service accreditation, </w:t>
      </w:r>
      <w:r w:rsidRPr="00F4690A">
        <w:rPr>
          <w:rFonts w:ascii="Arial" w:hAnsi="Arial" w:cs="Arial"/>
        </w:rPr>
        <w:t>practitioner qualifications and clinical supervision arrangements.</w:t>
      </w:r>
    </w:p>
    <w:p w14:paraId="7F99BD81" w14:textId="76BBAB8E" w:rsidR="009516AB" w:rsidRDefault="00F4690A" w:rsidP="009516AB">
      <w:pPr>
        <w:numPr>
          <w:ilvl w:val="0"/>
          <w:numId w:val="11"/>
        </w:numPr>
        <w:tabs>
          <w:tab w:val="clear" w:pos="360"/>
          <w:tab w:val="num" w:pos="720"/>
        </w:tabs>
        <w:rPr>
          <w:rFonts w:ascii="Arial" w:hAnsi="Arial" w:cs="Arial"/>
        </w:rPr>
      </w:pPr>
      <w:r w:rsidRPr="00F4690A">
        <w:rPr>
          <w:rFonts w:ascii="Arial" w:hAnsi="Arial" w:cs="Arial"/>
        </w:rPr>
        <w:t>A budget and financial forecast for the grant period.</w:t>
      </w:r>
    </w:p>
    <w:p w14:paraId="6A0E9620" w14:textId="21AD2BD9" w:rsidR="009516AB" w:rsidRPr="00F4690A" w:rsidRDefault="009633F4" w:rsidP="009516AB">
      <w:pPr>
        <w:numPr>
          <w:ilvl w:val="0"/>
          <w:numId w:val="11"/>
        </w:numPr>
        <w:tabs>
          <w:tab w:val="clear" w:pos="360"/>
          <w:tab w:val="num" w:pos="720"/>
        </w:tabs>
        <w:rPr>
          <w:rFonts w:ascii="Arial" w:hAnsi="Arial" w:cs="Arial"/>
        </w:rPr>
      </w:pPr>
      <w:r w:rsidRPr="562C94A3">
        <w:rPr>
          <w:rFonts w:ascii="Arial" w:hAnsi="Arial" w:cs="Arial"/>
        </w:rPr>
        <w:t>Clinical n</w:t>
      </w:r>
      <w:r w:rsidR="009516AB" w:rsidRPr="562C94A3">
        <w:rPr>
          <w:rFonts w:ascii="Arial" w:hAnsi="Arial" w:cs="Arial"/>
        </w:rPr>
        <w:t>ote taking Policy in compliance with CPS</w:t>
      </w:r>
      <w:r w:rsidR="06BC065F" w:rsidRPr="562C94A3">
        <w:rPr>
          <w:rFonts w:ascii="Arial" w:hAnsi="Arial" w:cs="Arial"/>
        </w:rPr>
        <w:t xml:space="preserve"> pretrial </w:t>
      </w:r>
      <w:r w:rsidR="0007099F" w:rsidRPr="562C94A3">
        <w:rPr>
          <w:rFonts w:ascii="Arial" w:hAnsi="Arial" w:cs="Arial"/>
        </w:rPr>
        <w:t>therapy</w:t>
      </w:r>
      <w:r w:rsidR="009516AB" w:rsidRPr="562C94A3">
        <w:rPr>
          <w:rFonts w:ascii="Arial" w:hAnsi="Arial" w:cs="Arial"/>
        </w:rPr>
        <w:t xml:space="preserve"> guidance.</w:t>
      </w:r>
    </w:p>
    <w:p w14:paraId="0828D132"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Latest annual accounts or equivalent financial statements.</w:t>
      </w:r>
    </w:p>
    <w:p w14:paraId="20EE2DED" w14:textId="74FBE97A" w:rsidR="00F4690A" w:rsidRDefault="00F4690A" w:rsidP="00B43643">
      <w:pPr>
        <w:numPr>
          <w:ilvl w:val="0"/>
          <w:numId w:val="11"/>
        </w:numPr>
        <w:tabs>
          <w:tab w:val="clear" w:pos="360"/>
          <w:tab w:val="num" w:pos="720"/>
        </w:tabs>
        <w:rPr>
          <w:rFonts w:ascii="Arial" w:hAnsi="Arial" w:cs="Arial"/>
        </w:rPr>
      </w:pPr>
      <w:r w:rsidRPr="00F4690A">
        <w:rPr>
          <w:rFonts w:ascii="Arial" w:hAnsi="Arial" w:cs="Arial"/>
        </w:rPr>
        <w:t>Safeguarding policies and procedures.</w:t>
      </w:r>
    </w:p>
    <w:p w14:paraId="45593DCD" w14:textId="170CCD4C" w:rsidR="009633F4" w:rsidRDefault="009633F4" w:rsidP="00B43643">
      <w:pPr>
        <w:numPr>
          <w:ilvl w:val="0"/>
          <w:numId w:val="11"/>
        </w:numPr>
        <w:tabs>
          <w:tab w:val="clear" w:pos="360"/>
          <w:tab w:val="num" w:pos="720"/>
        </w:tabs>
        <w:rPr>
          <w:rFonts w:ascii="Arial" w:hAnsi="Arial" w:cs="Arial"/>
        </w:rPr>
      </w:pPr>
      <w:proofErr w:type="spellStart"/>
      <w:r>
        <w:rPr>
          <w:rFonts w:ascii="Arial" w:hAnsi="Arial" w:cs="Arial"/>
        </w:rPr>
        <w:t>Self harm</w:t>
      </w:r>
      <w:proofErr w:type="spellEnd"/>
      <w:r>
        <w:rPr>
          <w:rFonts w:ascii="Arial" w:hAnsi="Arial" w:cs="Arial"/>
        </w:rPr>
        <w:t>, suicide, complex trauma policy.</w:t>
      </w:r>
    </w:p>
    <w:p w14:paraId="575F7DD3" w14:textId="423EA0AF" w:rsidR="009633F4" w:rsidRPr="00B43643" w:rsidRDefault="009633F4" w:rsidP="00B43643">
      <w:pPr>
        <w:numPr>
          <w:ilvl w:val="0"/>
          <w:numId w:val="11"/>
        </w:numPr>
        <w:tabs>
          <w:tab w:val="clear" w:pos="360"/>
          <w:tab w:val="num" w:pos="720"/>
        </w:tabs>
        <w:rPr>
          <w:rFonts w:ascii="Arial" w:hAnsi="Arial" w:cs="Arial"/>
        </w:rPr>
      </w:pPr>
      <w:r>
        <w:rPr>
          <w:rFonts w:ascii="Arial" w:hAnsi="Arial" w:cs="Arial"/>
        </w:rPr>
        <w:t xml:space="preserve">Wait list detail; current volume / length of wait and 'safe waiting' arrangements. </w:t>
      </w:r>
    </w:p>
    <w:p w14:paraId="1D1D88F5" w14:textId="5F9DB2CC" w:rsidR="00DB52EA" w:rsidRPr="00B43643" w:rsidRDefault="00DB52EA" w:rsidP="00B43643">
      <w:pPr>
        <w:numPr>
          <w:ilvl w:val="0"/>
          <w:numId w:val="11"/>
        </w:numPr>
        <w:tabs>
          <w:tab w:val="clear" w:pos="360"/>
          <w:tab w:val="num" w:pos="720"/>
        </w:tabs>
        <w:rPr>
          <w:rFonts w:ascii="Arial" w:hAnsi="Arial" w:cs="Arial"/>
        </w:rPr>
      </w:pPr>
      <w:r w:rsidRPr="00B43643">
        <w:rPr>
          <w:rFonts w:ascii="Arial" w:hAnsi="Arial" w:cs="Arial"/>
        </w:rPr>
        <w:t xml:space="preserve">Organisational governance and structure </w:t>
      </w:r>
    </w:p>
    <w:p w14:paraId="1B298AFC" w14:textId="5AF54589" w:rsidR="00DB52EA" w:rsidRPr="00B43643" w:rsidRDefault="00DB52EA" w:rsidP="00B43643">
      <w:pPr>
        <w:numPr>
          <w:ilvl w:val="0"/>
          <w:numId w:val="11"/>
        </w:numPr>
        <w:tabs>
          <w:tab w:val="clear" w:pos="360"/>
          <w:tab w:val="num" w:pos="720"/>
        </w:tabs>
        <w:rPr>
          <w:rFonts w:ascii="Arial" w:hAnsi="Arial" w:cs="Arial"/>
        </w:rPr>
      </w:pPr>
      <w:r w:rsidRPr="00B43643">
        <w:rPr>
          <w:rFonts w:ascii="Arial" w:hAnsi="Arial" w:cs="Arial"/>
        </w:rPr>
        <w:t xml:space="preserve">Outcomes framework and monitoring plan </w:t>
      </w:r>
    </w:p>
    <w:p w14:paraId="345327F0" w14:textId="7800EAFA" w:rsidR="00DB52EA" w:rsidRPr="00F4690A" w:rsidRDefault="00DB52EA" w:rsidP="00B43643">
      <w:pPr>
        <w:numPr>
          <w:ilvl w:val="0"/>
          <w:numId w:val="11"/>
        </w:numPr>
        <w:tabs>
          <w:tab w:val="clear" w:pos="360"/>
          <w:tab w:val="num" w:pos="720"/>
        </w:tabs>
        <w:rPr>
          <w:rFonts w:ascii="Arial" w:hAnsi="Arial" w:cs="Arial"/>
        </w:rPr>
      </w:pPr>
      <w:r w:rsidRPr="00B43643">
        <w:rPr>
          <w:rFonts w:ascii="Arial" w:hAnsi="Arial" w:cs="Arial"/>
        </w:rPr>
        <w:t>Equality and diversity compliance</w:t>
      </w:r>
    </w:p>
    <w:p w14:paraId="65A92A06" w14:textId="77777777" w:rsidR="00B43643" w:rsidRDefault="00B43643" w:rsidP="00DB52EA">
      <w:pPr>
        <w:rPr>
          <w:rFonts w:ascii="Arial" w:hAnsi="Arial" w:cs="Arial"/>
          <w:b/>
          <w:bCs/>
        </w:rPr>
      </w:pPr>
    </w:p>
    <w:p w14:paraId="006D3452" w14:textId="3BF5F447" w:rsidR="00DB52EA" w:rsidRPr="007B54B9" w:rsidRDefault="00F4690A" w:rsidP="00DB52EA">
      <w:pPr>
        <w:rPr>
          <w:rFonts w:ascii="Arial" w:hAnsi="Arial" w:cs="Arial"/>
        </w:rPr>
      </w:pPr>
      <w:r w:rsidRPr="00F4690A">
        <w:rPr>
          <w:rFonts w:ascii="Arial" w:hAnsi="Arial" w:cs="Arial"/>
          <w:b/>
          <w:bCs/>
        </w:rPr>
        <w:t xml:space="preserve">8. </w:t>
      </w:r>
      <w:r w:rsidR="00DB52EA" w:rsidRPr="007B54B9">
        <w:rPr>
          <w:rFonts w:ascii="Arial" w:hAnsi="Arial" w:cs="Arial"/>
          <w:b/>
          <w:bCs/>
        </w:rPr>
        <w:t xml:space="preserve">Decision-Making Process </w:t>
      </w:r>
    </w:p>
    <w:p w14:paraId="6DE21155" w14:textId="2EEF64F0" w:rsidR="00F4690A" w:rsidRPr="00F4690A" w:rsidRDefault="00DB52EA" w:rsidP="00F4690A">
      <w:pPr>
        <w:spacing w:before="100" w:beforeAutospacing="1" w:after="100" w:afterAutospacing="1" w:line="300" w:lineRule="atLeast"/>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A</w:t>
      </w:r>
      <w:r w:rsidR="00F4690A" w:rsidRPr="00F4690A">
        <w:rPr>
          <w:rFonts w:ascii="Arial" w:eastAsia="Times New Roman" w:hAnsi="Arial" w:cs="Arial"/>
          <w:kern w:val="0"/>
          <w:sz w:val="21"/>
          <w:szCs w:val="21"/>
          <w:lang w:eastAsia="en-GB"/>
          <w14:ligatures w14:val="none"/>
        </w:rPr>
        <w:t>pplications will be assessed against the following:</w:t>
      </w:r>
    </w:p>
    <w:p w14:paraId="14BFDE3F"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Quality of service model (trauma-informed approach, suitability of interventions).</w:t>
      </w:r>
    </w:p>
    <w:p w14:paraId="1FBDCDD0"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Experience and competency of staff and organisation.</w:t>
      </w:r>
    </w:p>
    <w:p w14:paraId="4F8D5D82"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Reach and equity (ability to serve diverse communities).</w:t>
      </w:r>
    </w:p>
    <w:p w14:paraId="7D491FDC"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lastRenderedPageBreak/>
        <w:t>Value for money and clear, deliverable plans.</w:t>
      </w:r>
    </w:p>
    <w:p w14:paraId="795840BE" w14:textId="77777777" w:rsidR="00F4690A"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Organisational capacity and governance arrangements.</w:t>
      </w:r>
    </w:p>
    <w:p w14:paraId="2020D53E" w14:textId="6C282579" w:rsidR="00F4690A" w:rsidRDefault="00F4690A" w:rsidP="562C94A3">
      <w:pPr>
        <w:numPr>
          <w:ilvl w:val="0"/>
          <w:numId w:val="11"/>
        </w:numPr>
        <w:tabs>
          <w:tab w:val="clear" w:pos="360"/>
          <w:tab w:val="num" w:pos="720"/>
        </w:tabs>
        <w:rPr>
          <w:rFonts w:ascii="Arial" w:hAnsi="Arial" w:cs="Arial"/>
        </w:rPr>
      </w:pPr>
      <w:r w:rsidRPr="562C94A3">
        <w:rPr>
          <w:rFonts w:ascii="Arial" w:hAnsi="Arial" w:cs="Arial"/>
        </w:rPr>
        <w:t>Outcomes and impact measurement.</w:t>
      </w:r>
    </w:p>
    <w:p w14:paraId="15E863B3" w14:textId="7D541476" w:rsidR="334B0B37" w:rsidRDefault="334B0B37" w:rsidP="562C94A3">
      <w:pPr>
        <w:tabs>
          <w:tab w:val="num" w:pos="720"/>
        </w:tabs>
        <w:rPr>
          <w:rFonts w:ascii="Arial" w:hAnsi="Arial" w:cs="Arial"/>
        </w:rPr>
      </w:pPr>
      <w:r w:rsidRPr="562C94A3">
        <w:rPr>
          <w:rFonts w:ascii="Arial" w:eastAsia="Arial" w:hAnsi="Arial" w:cs="Arial"/>
        </w:rPr>
        <w:t>The PCC reserves the right to scale down, amend, or reduce the scope and value of proposals where necessary in order to ensure a fair allocation of resources and maintain breadth of funding across the service landscape. This may include part‑funding applications or adjusting delivery volumes to align with overall budget availability and strategic priorities.</w:t>
      </w:r>
    </w:p>
    <w:p w14:paraId="228DFB7F" w14:textId="77777777" w:rsidR="00B43643" w:rsidRDefault="00B43643" w:rsidP="001061F5">
      <w:pPr>
        <w:rPr>
          <w:rFonts w:ascii="Arial" w:hAnsi="Arial" w:cs="Arial"/>
          <w:b/>
          <w:bCs/>
        </w:rPr>
      </w:pPr>
    </w:p>
    <w:p w14:paraId="4B485E9D" w14:textId="12675E01" w:rsidR="00F4690A" w:rsidRPr="00F4690A" w:rsidRDefault="00F4690A" w:rsidP="001061F5">
      <w:pPr>
        <w:rPr>
          <w:rFonts w:ascii="Arial" w:hAnsi="Arial" w:cs="Arial"/>
          <w:b/>
          <w:bCs/>
        </w:rPr>
      </w:pPr>
      <w:r w:rsidRPr="00F4690A">
        <w:rPr>
          <w:rFonts w:ascii="Arial" w:hAnsi="Arial" w:cs="Arial"/>
          <w:b/>
          <w:bCs/>
        </w:rPr>
        <w:t>9. Monitoring and Reporting</w:t>
      </w:r>
    </w:p>
    <w:p w14:paraId="32629616" w14:textId="77777777" w:rsidR="00F4690A" w:rsidRPr="00F4690A" w:rsidRDefault="00F4690A" w:rsidP="00B43643">
      <w:pPr>
        <w:rPr>
          <w:rFonts w:ascii="Arial" w:hAnsi="Arial" w:cs="Arial"/>
        </w:rPr>
      </w:pPr>
      <w:r w:rsidRPr="00F4690A">
        <w:rPr>
          <w:rFonts w:ascii="Arial" w:hAnsi="Arial" w:cs="Arial"/>
        </w:rPr>
        <w:t>Funded organisations will be required to:</w:t>
      </w:r>
    </w:p>
    <w:p w14:paraId="003F6808" w14:textId="2FDCD85A" w:rsidR="00B43643" w:rsidRPr="00F4690A" w:rsidRDefault="00F4690A" w:rsidP="00B43643">
      <w:pPr>
        <w:numPr>
          <w:ilvl w:val="0"/>
          <w:numId w:val="11"/>
        </w:numPr>
        <w:tabs>
          <w:tab w:val="clear" w:pos="360"/>
          <w:tab w:val="num" w:pos="720"/>
        </w:tabs>
        <w:rPr>
          <w:rFonts w:ascii="Arial" w:hAnsi="Arial" w:cs="Arial"/>
        </w:rPr>
      </w:pPr>
      <w:r w:rsidRPr="00F4690A">
        <w:rPr>
          <w:rFonts w:ascii="Arial" w:hAnsi="Arial" w:cs="Arial"/>
        </w:rPr>
        <w:t xml:space="preserve">Provide </w:t>
      </w:r>
      <w:r w:rsidR="00B43643">
        <w:rPr>
          <w:rFonts w:ascii="Arial" w:hAnsi="Arial" w:cs="Arial"/>
        </w:rPr>
        <w:t>6 monthly</w:t>
      </w:r>
      <w:r w:rsidRPr="00F4690A">
        <w:rPr>
          <w:rFonts w:ascii="Arial" w:hAnsi="Arial" w:cs="Arial"/>
        </w:rPr>
        <w:t xml:space="preserve"> monitoring reports detailing activity, outputs, outcomes, and challenges</w:t>
      </w:r>
      <w:r w:rsidR="009516AB">
        <w:rPr>
          <w:rFonts w:ascii="Arial" w:hAnsi="Arial" w:cs="Arial"/>
        </w:rPr>
        <w:t xml:space="preserve"> in line with MOJ Reporting Requirements – a copy of expected returns is available from the OPCC</w:t>
      </w:r>
      <w:r w:rsidRPr="00F4690A">
        <w:rPr>
          <w:rFonts w:ascii="Arial" w:hAnsi="Arial" w:cs="Arial"/>
        </w:rPr>
        <w:t>.</w:t>
      </w:r>
    </w:p>
    <w:p w14:paraId="139C7724" w14:textId="77777777" w:rsidR="00F4690A" w:rsidRDefault="00F4690A" w:rsidP="00B43643">
      <w:pPr>
        <w:numPr>
          <w:ilvl w:val="0"/>
          <w:numId w:val="11"/>
        </w:numPr>
        <w:tabs>
          <w:tab w:val="clear" w:pos="360"/>
          <w:tab w:val="num" w:pos="720"/>
        </w:tabs>
        <w:rPr>
          <w:rFonts w:ascii="Arial" w:hAnsi="Arial" w:cs="Arial"/>
        </w:rPr>
      </w:pPr>
      <w:r w:rsidRPr="00F4690A">
        <w:rPr>
          <w:rFonts w:ascii="Arial" w:hAnsi="Arial" w:cs="Arial"/>
        </w:rPr>
        <w:t>Notify the grant-maker of any risks, safeguarding concerns, or organisational changes that may affect delivery.</w:t>
      </w:r>
    </w:p>
    <w:p w14:paraId="625E32D8" w14:textId="161C0CBA" w:rsidR="009633F4" w:rsidRPr="00F4690A" w:rsidRDefault="009633F4" w:rsidP="00B43643">
      <w:pPr>
        <w:numPr>
          <w:ilvl w:val="0"/>
          <w:numId w:val="11"/>
        </w:numPr>
        <w:tabs>
          <w:tab w:val="clear" w:pos="360"/>
          <w:tab w:val="num" w:pos="720"/>
        </w:tabs>
        <w:rPr>
          <w:rFonts w:ascii="Arial" w:hAnsi="Arial" w:cs="Arial"/>
        </w:rPr>
      </w:pPr>
      <w:r>
        <w:rPr>
          <w:rFonts w:ascii="Arial" w:hAnsi="Arial" w:cs="Arial"/>
        </w:rPr>
        <w:t>End of period financial reporting, any underspend should be identified early and returned to the OPCC.</w:t>
      </w:r>
    </w:p>
    <w:p w14:paraId="13180983" w14:textId="77777777" w:rsidR="007B54B9" w:rsidRDefault="007B54B9" w:rsidP="007B54B9">
      <w:pPr>
        <w:rPr>
          <w:rFonts w:ascii="Arial" w:hAnsi="Arial" w:cs="Arial"/>
        </w:rPr>
      </w:pPr>
    </w:p>
    <w:p w14:paraId="7ABDD31C" w14:textId="77777777" w:rsidR="00B43643" w:rsidRPr="007B54B9" w:rsidRDefault="00B43643" w:rsidP="007B54B9">
      <w:pPr>
        <w:rPr>
          <w:rFonts w:ascii="Arial" w:hAnsi="Arial" w:cs="Arial"/>
        </w:rPr>
      </w:pPr>
    </w:p>
    <w:p w14:paraId="66E93559" w14:textId="77777777" w:rsidR="007B54B9" w:rsidRPr="007B54B9" w:rsidRDefault="007B54B9" w:rsidP="007B54B9">
      <w:pPr>
        <w:numPr>
          <w:ilvl w:val="1"/>
          <w:numId w:val="15"/>
        </w:numPr>
        <w:rPr>
          <w:rFonts w:ascii="Arial" w:hAnsi="Arial" w:cs="Arial"/>
        </w:rPr>
      </w:pPr>
    </w:p>
    <w:p w14:paraId="1770EEB7" w14:textId="77777777" w:rsidR="001850CE" w:rsidRDefault="001850CE">
      <w:pPr>
        <w:rPr>
          <w:rFonts w:ascii="Arial" w:hAnsi="Arial" w:cs="Arial"/>
        </w:rPr>
      </w:pPr>
    </w:p>
    <w:p w14:paraId="1A387B8A" w14:textId="77777777" w:rsidR="00FA4D36" w:rsidRDefault="00FA4D36">
      <w:pPr>
        <w:rPr>
          <w:rFonts w:ascii="Arial" w:hAnsi="Arial" w:cs="Arial"/>
        </w:rPr>
      </w:pPr>
    </w:p>
    <w:p w14:paraId="79B23841" w14:textId="77777777" w:rsidR="00FA4D36" w:rsidRDefault="00FA4D36">
      <w:pPr>
        <w:rPr>
          <w:rFonts w:ascii="Arial" w:hAnsi="Arial" w:cs="Arial"/>
        </w:rPr>
      </w:pPr>
    </w:p>
    <w:p w14:paraId="3883DE8A" w14:textId="77777777" w:rsidR="00FA4D36" w:rsidRDefault="00FA4D36">
      <w:pPr>
        <w:rPr>
          <w:rFonts w:ascii="Arial" w:hAnsi="Arial" w:cs="Arial"/>
        </w:rPr>
      </w:pPr>
    </w:p>
    <w:p w14:paraId="4ADCB205" w14:textId="77777777" w:rsidR="00FA4D36" w:rsidRDefault="00FA4D36">
      <w:pPr>
        <w:rPr>
          <w:rFonts w:ascii="Arial" w:hAnsi="Arial" w:cs="Arial"/>
        </w:rPr>
      </w:pPr>
    </w:p>
    <w:p w14:paraId="78813592" w14:textId="77777777" w:rsidR="00FA4D36" w:rsidRDefault="00FA4D36">
      <w:pPr>
        <w:rPr>
          <w:rFonts w:ascii="Arial" w:hAnsi="Arial" w:cs="Arial"/>
        </w:rPr>
      </w:pPr>
    </w:p>
    <w:p w14:paraId="300C1E3C" w14:textId="77777777" w:rsidR="00FA4D36" w:rsidRDefault="00FA4D36">
      <w:pPr>
        <w:rPr>
          <w:rFonts w:ascii="Arial" w:hAnsi="Arial" w:cs="Arial"/>
        </w:rPr>
      </w:pPr>
    </w:p>
    <w:p w14:paraId="3D1B0E39" w14:textId="77777777" w:rsidR="00FA4D36" w:rsidRDefault="00FA4D36">
      <w:pPr>
        <w:rPr>
          <w:rFonts w:ascii="Arial" w:hAnsi="Arial" w:cs="Arial"/>
        </w:rPr>
      </w:pPr>
    </w:p>
    <w:p w14:paraId="05C5EDDA" w14:textId="77777777" w:rsidR="00FA4D36" w:rsidRDefault="00FA4D36">
      <w:pPr>
        <w:rPr>
          <w:rFonts w:ascii="Arial" w:hAnsi="Arial" w:cs="Arial"/>
        </w:rPr>
      </w:pPr>
    </w:p>
    <w:p w14:paraId="32B66A7E" w14:textId="77777777" w:rsidR="00FA4D36" w:rsidRDefault="00FA4D36">
      <w:pPr>
        <w:rPr>
          <w:rFonts w:ascii="Arial" w:hAnsi="Arial" w:cs="Arial"/>
        </w:rPr>
      </w:pPr>
    </w:p>
    <w:p w14:paraId="3DB4EF8C" w14:textId="77777777" w:rsidR="00FA4D36" w:rsidRDefault="00FA4D36">
      <w:pPr>
        <w:rPr>
          <w:rFonts w:ascii="Arial" w:hAnsi="Arial" w:cs="Arial"/>
        </w:rPr>
      </w:pPr>
    </w:p>
    <w:p w14:paraId="517291F8" w14:textId="77777777" w:rsidR="00FA4D36" w:rsidRDefault="00FA4D36">
      <w:pPr>
        <w:rPr>
          <w:rFonts w:ascii="Arial" w:hAnsi="Arial" w:cs="Arial"/>
        </w:rPr>
      </w:pPr>
    </w:p>
    <w:p w14:paraId="635F0C59" w14:textId="77777777" w:rsidR="00FA4D36" w:rsidRDefault="00FA4D36">
      <w:pPr>
        <w:rPr>
          <w:rFonts w:ascii="Arial" w:hAnsi="Arial" w:cs="Arial"/>
        </w:rPr>
      </w:pPr>
    </w:p>
    <w:p w14:paraId="2F6CA9F0" w14:textId="77777777" w:rsidR="00FA4D36" w:rsidRPr="00B523AD" w:rsidRDefault="00FA4D36" w:rsidP="00FA4D36">
      <w:pPr>
        <w:jc w:val="center"/>
        <w:rPr>
          <w:rFonts w:ascii="Arial" w:hAnsi="Arial" w:cs="Arial"/>
          <w:sz w:val="24"/>
          <w:szCs w:val="24"/>
          <w:u w:val="single"/>
        </w:rPr>
      </w:pPr>
      <w:r w:rsidRPr="00B523AD">
        <w:rPr>
          <w:rFonts w:ascii="Arial" w:hAnsi="Arial" w:cs="Arial"/>
          <w:b/>
          <w:bCs/>
          <w:sz w:val="24"/>
          <w:szCs w:val="24"/>
          <w:u w:val="single"/>
        </w:rPr>
        <w:lastRenderedPageBreak/>
        <w:t>Application Content: What to Include</w:t>
      </w:r>
    </w:p>
    <w:p w14:paraId="76C0320D" w14:textId="77777777" w:rsidR="00FA4D36" w:rsidRPr="00B523AD" w:rsidRDefault="00FA4D36" w:rsidP="00FA4D36">
      <w:pPr>
        <w:rPr>
          <w:rFonts w:ascii="Arial" w:hAnsi="Arial" w:cs="Arial"/>
        </w:rPr>
      </w:pPr>
      <w:r w:rsidRPr="00B523AD">
        <w:rPr>
          <w:rFonts w:ascii="Arial" w:hAnsi="Arial" w:cs="Arial"/>
          <w:b/>
          <w:bCs/>
        </w:rPr>
        <w:t>Section A: Your Organisation</w:t>
      </w:r>
    </w:p>
    <w:p w14:paraId="464D2312" w14:textId="77777777" w:rsidR="00FA4D36" w:rsidRPr="00B523AD" w:rsidRDefault="00FA4D36" w:rsidP="00FA4D36">
      <w:pPr>
        <w:rPr>
          <w:rFonts w:ascii="Arial" w:hAnsi="Arial" w:cs="Arial"/>
        </w:rPr>
      </w:pPr>
      <w:r w:rsidRPr="00B523AD">
        <w:rPr>
          <w:rFonts w:ascii="Arial" w:hAnsi="Arial" w:cs="Arial"/>
        </w:rPr>
        <w:t>Include:</w:t>
      </w:r>
    </w:p>
    <w:p w14:paraId="1847373E" w14:textId="77777777" w:rsidR="00FA4D36" w:rsidRPr="00B523AD" w:rsidRDefault="00FA4D36" w:rsidP="00FA4D36">
      <w:pPr>
        <w:pStyle w:val="ListParagraph"/>
        <w:numPr>
          <w:ilvl w:val="0"/>
          <w:numId w:val="34"/>
        </w:numPr>
        <w:spacing w:line="480" w:lineRule="auto"/>
        <w:rPr>
          <w:rFonts w:ascii="Arial" w:hAnsi="Arial" w:cs="Arial"/>
        </w:rPr>
      </w:pPr>
      <w:r w:rsidRPr="00B523AD">
        <w:rPr>
          <w:rFonts w:ascii="Arial" w:hAnsi="Arial" w:cs="Arial"/>
        </w:rPr>
        <w:t xml:space="preserve">Organisation Name </w:t>
      </w:r>
    </w:p>
    <w:p w14:paraId="7F1F06DB" w14:textId="77777777" w:rsidR="00FA4D36" w:rsidRPr="00B523AD" w:rsidRDefault="00FA4D36" w:rsidP="00FA4D36">
      <w:pPr>
        <w:pStyle w:val="ListParagraph"/>
        <w:numPr>
          <w:ilvl w:val="0"/>
          <w:numId w:val="34"/>
        </w:numPr>
        <w:spacing w:line="480" w:lineRule="auto"/>
        <w:rPr>
          <w:rFonts w:ascii="Arial" w:hAnsi="Arial" w:cs="Arial"/>
        </w:rPr>
      </w:pPr>
      <w:r w:rsidRPr="00B523AD">
        <w:rPr>
          <w:rFonts w:ascii="Arial" w:hAnsi="Arial" w:cs="Arial"/>
        </w:rPr>
        <w:t xml:space="preserve">Type of Organisation </w:t>
      </w:r>
    </w:p>
    <w:p w14:paraId="64570EBF" w14:textId="77777777" w:rsidR="00FA4D36" w:rsidRPr="00B523AD" w:rsidRDefault="00FA4D36" w:rsidP="00FA4D36">
      <w:pPr>
        <w:pStyle w:val="ListParagraph"/>
        <w:numPr>
          <w:ilvl w:val="0"/>
          <w:numId w:val="34"/>
        </w:numPr>
        <w:spacing w:line="480" w:lineRule="auto"/>
        <w:rPr>
          <w:rFonts w:ascii="Arial" w:hAnsi="Arial" w:cs="Arial"/>
        </w:rPr>
      </w:pPr>
      <w:r w:rsidRPr="00B523AD">
        <w:rPr>
          <w:rFonts w:ascii="Arial" w:hAnsi="Arial" w:cs="Arial"/>
        </w:rPr>
        <w:t xml:space="preserve">Registered Charity Number (If Applicable) </w:t>
      </w:r>
    </w:p>
    <w:p w14:paraId="7ADD93B8" w14:textId="77777777" w:rsidR="00FA4D36" w:rsidRPr="00B523AD" w:rsidRDefault="00FA4D36" w:rsidP="00FA4D36">
      <w:pPr>
        <w:pStyle w:val="ListParagraph"/>
        <w:numPr>
          <w:ilvl w:val="0"/>
          <w:numId w:val="34"/>
        </w:numPr>
        <w:spacing w:line="480" w:lineRule="auto"/>
        <w:rPr>
          <w:rFonts w:ascii="Arial" w:hAnsi="Arial" w:cs="Arial"/>
        </w:rPr>
      </w:pPr>
      <w:r w:rsidRPr="00B523AD">
        <w:rPr>
          <w:rFonts w:ascii="Arial" w:hAnsi="Arial" w:cs="Arial"/>
        </w:rPr>
        <w:t xml:space="preserve">Primary Contact Details </w:t>
      </w:r>
    </w:p>
    <w:p w14:paraId="2178EDFC" w14:textId="77777777" w:rsidR="00FA4D36" w:rsidRPr="00B523AD" w:rsidRDefault="00FA4D36" w:rsidP="00FA4D36">
      <w:pPr>
        <w:pStyle w:val="ListParagraph"/>
        <w:numPr>
          <w:ilvl w:val="0"/>
          <w:numId w:val="34"/>
        </w:numPr>
        <w:spacing w:line="480" w:lineRule="auto"/>
        <w:rPr>
          <w:rFonts w:ascii="Arial" w:hAnsi="Arial" w:cs="Arial"/>
        </w:rPr>
      </w:pPr>
      <w:r w:rsidRPr="00B523AD">
        <w:rPr>
          <w:rFonts w:ascii="Arial" w:hAnsi="Arial" w:cs="Arial"/>
        </w:rPr>
        <w:t>Policies on safeguarding, equality, and health &amp; safety</w:t>
      </w:r>
    </w:p>
    <w:p w14:paraId="374EA501" w14:textId="77777777" w:rsidR="00FA4D36" w:rsidRPr="00B523AD" w:rsidRDefault="00FA4D36" w:rsidP="00FA4D36">
      <w:pPr>
        <w:pStyle w:val="ListParagraph"/>
        <w:numPr>
          <w:ilvl w:val="0"/>
          <w:numId w:val="34"/>
        </w:numPr>
        <w:spacing w:after="0" w:line="480" w:lineRule="auto"/>
        <w:rPr>
          <w:rFonts w:ascii="Arial" w:hAnsi="Arial" w:cs="Arial"/>
        </w:rPr>
      </w:pPr>
      <w:r w:rsidRPr="00B523AD">
        <w:rPr>
          <w:rFonts w:ascii="Arial" w:hAnsi="Arial" w:cs="Arial"/>
        </w:rPr>
        <w:t>For charities/community groups:</w:t>
      </w:r>
    </w:p>
    <w:p w14:paraId="5F1CE3A4" w14:textId="77777777" w:rsidR="00FA4D36" w:rsidRPr="00B523AD" w:rsidRDefault="00FA4D36" w:rsidP="00FA4D36">
      <w:pPr>
        <w:numPr>
          <w:ilvl w:val="1"/>
          <w:numId w:val="33"/>
        </w:numPr>
        <w:tabs>
          <w:tab w:val="num" w:pos="1440"/>
        </w:tabs>
        <w:rPr>
          <w:rFonts w:ascii="Arial" w:hAnsi="Arial" w:cs="Arial"/>
        </w:rPr>
      </w:pPr>
      <w:r w:rsidRPr="00B523AD">
        <w:rPr>
          <w:rFonts w:ascii="Arial" w:hAnsi="Arial" w:cs="Arial"/>
        </w:rPr>
        <w:t>Articles of Association or Constitution</w:t>
      </w:r>
    </w:p>
    <w:p w14:paraId="7255E0F8" w14:textId="77777777" w:rsidR="00FA4D36" w:rsidRPr="00181102" w:rsidRDefault="00FA4D36" w:rsidP="00FA4D36">
      <w:pPr>
        <w:numPr>
          <w:ilvl w:val="1"/>
          <w:numId w:val="33"/>
        </w:numPr>
        <w:tabs>
          <w:tab w:val="num" w:pos="1440"/>
        </w:tabs>
        <w:rPr>
          <w:rFonts w:ascii="Arial" w:hAnsi="Arial" w:cs="Arial"/>
        </w:rPr>
      </w:pPr>
      <w:r w:rsidRPr="00B523AD">
        <w:rPr>
          <w:rFonts w:ascii="Arial" w:hAnsi="Arial" w:cs="Arial"/>
        </w:rPr>
        <w:t>Most recent two years of audited accounts</w:t>
      </w:r>
    </w:p>
    <w:p w14:paraId="63A4747D" w14:textId="77777777" w:rsidR="00FA4D36" w:rsidRPr="00B523AD" w:rsidRDefault="00FA4D36" w:rsidP="00FA4D36">
      <w:pPr>
        <w:spacing w:after="0"/>
        <w:ind w:left="785"/>
        <w:jc w:val="both"/>
        <w:rPr>
          <w:rFonts w:ascii="Arial" w:hAnsi="Arial" w:cs="Arial"/>
        </w:rPr>
      </w:pPr>
    </w:p>
    <w:p w14:paraId="3715DCEA" w14:textId="77777777" w:rsidR="00FA4D36" w:rsidRPr="00B523AD" w:rsidRDefault="00FA4D36" w:rsidP="00FA4D36">
      <w:pPr>
        <w:rPr>
          <w:rFonts w:ascii="Arial" w:hAnsi="Arial" w:cs="Arial"/>
          <w:b/>
          <w:bCs/>
        </w:rPr>
      </w:pPr>
      <w:r w:rsidRPr="00B523AD">
        <w:rPr>
          <w:rFonts w:ascii="Arial" w:hAnsi="Arial" w:cs="Arial"/>
          <w:b/>
          <w:bCs/>
        </w:rPr>
        <w:t xml:space="preserve">Section B: Your Project </w:t>
      </w:r>
    </w:p>
    <w:p w14:paraId="5CC8E05C" w14:textId="77777777" w:rsidR="00FA4D36" w:rsidRPr="00B523AD" w:rsidRDefault="00FA4D36" w:rsidP="00FA4D36">
      <w:pPr>
        <w:rPr>
          <w:rFonts w:ascii="Arial" w:hAnsi="Arial" w:cs="Arial"/>
          <w:b/>
          <w:bCs/>
        </w:rPr>
      </w:pPr>
      <w:r w:rsidRPr="00B523AD">
        <w:rPr>
          <w:rFonts w:ascii="Arial" w:hAnsi="Arial" w:cs="Arial"/>
          <w:b/>
          <w:bCs/>
        </w:rPr>
        <w:t>Key Details</w:t>
      </w:r>
    </w:p>
    <w:p w14:paraId="21542415" w14:textId="77777777" w:rsidR="00FA4D36" w:rsidRPr="00B523AD" w:rsidRDefault="00FA4D36" w:rsidP="00FA4D36">
      <w:pPr>
        <w:numPr>
          <w:ilvl w:val="0"/>
          <w:numId w:val="35"/>
        </w:numPr>
        <w:rPr>
          <w:rFonts w:ascii="Arial" w:hAnsi="Arial" w:cs="Arial"/>
        </w:rPr>
      </w:pPr>
      <w:r w:rsidRPr="00B523AD">
        <w:rPr>
          <w:rFonts w:ascii="Arial" w:hAnsi="Arial" w:cs="Arial"/>
        </w:rPr>
        <w:t>Project Name</w:t>
      </w:r>
    </w:p>
    <w:p w14:paraId="33F8FA5E" w14:textId="77777777" w:rsidR="00FA4D36" w:rsidRPr="00B523AD" w:rsidRDefault="00FA4D36" w:rsidP="00FA4D36">
      <w:pPr>
        <w:numPr>
          <w:ilvl w:val="0"/>
          <w:numId w:val="35"/>
        </w:numPr>
        <w:rPr>
          <w:rFonts w:ascii="Arial" w:hAnsi="Arial" w:cs="Arial"/>
        </w:rPr>
      </w:pPr>
      <w:r w:rsidRPr="00B523AD">
        <w:rPr>
          <w:rFonts w:ascii="Arial" w:hAnsi="Arial" w:cs="Arial"/>
        </w:rPr>
        <w:t>Project Location</w:t>
      </w:r>
    </w:p>
    <w:p w14:paraId="71A9BF96" w14:textId="77777777" w:rsidR="00FA4D36" w:rsidRPr="00B523AD" w:rsidRDefault="00FA4D36" w:rsidP="00FA4D36">
      <w:pPr>
        <w:rPr>
          <w:rFonts w:ascii="Arial" w:hAnsi="Arial" w:cs="Arial"/>
          <w:b/>
          <w:bCs/>
        </w:rPr>
      </w:pPr>
      <w:r w:rsidRPr="00B523AD">
        <w:rPr>
          <w:rFonts w:ascii="Arial" w:hAnsi="Arial" w:cs="Arial"/>
          <w:b/>
          <w:bCs/>
        </w:rPr>
        <w:t>Inputs &amp; Activities</w:t>
      </w:r>
    </w:p>
    <w:p w14:paraId="1827DCB9" w14:textId="77777777" w:rsidR="00FA4D36" w:rsidRPr="00CF0E85" w:rsidRDefault="00FA4D36" w:rsidP="00FA4D36">
      <w:pPr>
        <w:rPr>
          <w:rFonts w:ascii="Arial" w:hAnsi="Arial" w:cs="Arial"/>
        </w:rPr>
      </w:pPr>
      <w:r w:rsidRPr="00B523AD">
        <w:rPr>
          <w:rFonts w:ascii="Arial" w:hAnsi="Arial" w:cs="Arial"/>
          <w:b/>
          <w:bCs/>
        </w:rPr>
        <w:t>Project Summary</w:t>
      </w:r>
      <w:r w:rsidRPr="00B523AD">
        <w:rPr>
          <w:rFonts w:ascii="Arial" w:hAnsi="Arial" w:cs="Arial"/>
          <w:b/>
          <w:bCs/>
        </w:rPr>
        <w:br/>
      </w:r>
      <w:r w:rsidRPr="00B523AD">
        <w:rPr>
          <w:rFonts w:ascii="Arial" w:hAnsi="Arial" w:cs="Arial"/>
        </w:rPr>
        <w:t xml:space="preserve">Describe </w:t>
      </w:r>
      <w:r>
        <w:rPr>
          <w:rFonts w:ascii="Arial" w:hAnsi="Arial" w:cs="Arial"/>
        </w:rPr>
        <w:t xml:space="preserve">how your organisation can meet the requirements of the grant as detailed above, providing any details of previous relevant experience </w:t>
      </w:r>
      <w:r w:rsidRPr="00B523AD">
        <w:rPr>
          <w:rFonts w:ascii="Arial" w:hAnsi="Arial" w:cs="Arial"/>
        </w:rPr>
        <w:t xml:space="preserve">the resources and activities that will be delivered. </w:t>
      </w:r>
    </w:p>
    <w:p w14:paraId="4C4B692B" w14:textId="77777777" w:rsidR="00FA4D36" w:rsidRDefault="00FA4D36" w:rsidP="00FA4D36">
      <w:pPr>
        <w:rPr>
          <w:rFonts w:ascii="Arial" w:hAnsi="Arial" w:cs="Arial"/>
          <w:b/>
          <w:bCs/>
        </w:rPr>
      </w:pPr>
      <w:r w:rsidRPr="00B523AD">
        <w:rPr>
          <w:rFonts w:ascii="Arial" w:hAnsi="Arial" w:cs="Arial"/>
          <w:b/>
          <w:bCs/>
        </w:rPr>
        <w:t xml:space="preserve">Outputs </w:t>
      </w:r>
    </w:p>
    <w:p w14:paraId="040E66CC" w14:textId="2D8BAE57" w:rsidR="00FA4D36" w:rsidRPr="00603B66" w:rsidRDefault="00FA4D36" w:rsidP="00FA4D36">
      <w:pPr>
        <w:rPr>
          <w:rFonts w:ascii="Arial" w:hAnsi="Arial" w:cs="Arial"/>
        </w:rPr>
      </w:pPr>
      <w:r w:rsidRPr="00603B66">
        <w:rPr>
          <w:rFonts w:ascii="Arial" w:hAnsi="Arial" w:cs="Arial"/>
        </w:rPr>
        <w:t>Detail how you</w:t>
      </w:r>
      <w:r>
        <w:rPr>
          <w:rFonts w:ascii="Arial" w:hAnsi="Arial" w:cs="Arial"/>
        </w:rPr>
        <w:t xml:space="preserve"> will measure the success of the project with identified outputs</w:t>
      </w:r>
      <w:r w:rsidR="004B3090">
        <w:rPr>
          <w:rFonts w:ascii="Arial" w:hAnsi="Arial" w:cs="Arial"/>
        </w:rPr>
        <w:t xml:space="preserve">. </w:t>
      </w:r>
    </w:p>
    <w:p w14:paraId="378A6139" w14:textId="77777777" w:rsidR="00FA4D36" w:rsidRPr="00B523AD" w:rsidRDefault="00FA4D36" w:rsidP="00FA4D36">
      <w:pPr>
        <w:rPr>
          <w:rFonts w:ascii="Arial" w:hAnsi="Arial" w:cs="Arial"/>
          <w:b/>
          <w:bCs/>
        </w:rPr>
      </w:pPr>
      <w:r w:rsidRPr="00B523AD">
        <w:rPr>
          <w:rFonts w:ascii="Arial" w:hAnsi="Arial" w:cs="Arial"/>
          <w:b/>
          <w:bCs/>
        </w:rPr>
        <w:t>Outcomes</w:t>
      </w:r>
    </w:p>
    <w:p w14:paraId="52C09BA0" w14:textId="77777777" w:rsidR="00FA4D36" w:rsidRDefault="00FA4D36" w:rsidP="00FA4D36">
      <w:pPr>
        <w:rPr>
          <w:rFonts w:ascii="Arial" w:hAnsi="Arial" w:cs="Arial"/>
        </w:rPr>
      </w:pPr>
      <w:r w:rsidRPr="00603B66">
        <w:rPr>
          <w:rFonts w:ascii="Arial" w:hAnsi="Arial" w:cs="Arial"/>
        </w:rPr>
        <w:t>What changes do you expect to see?  Describe</w:t>
      </w:r>
      <w:r w:rsidRPr="00B523AD">
        <w:rPr>
          <w:rFonts w:ascii="Arial" w:hAnsi="Arial" w:cs="Arial"/>
        </w:rPr>
        <w:t xml:space="preserve"> the short- to medium-term outcomes</w:t>
      </w:r>
      <w:r>
        <w:rPr>
          <w:rFonts w:ascii="Arial" w:hAnsi="Arial" w:cs="Arial"/>
        </w:rPr>
        <w:t>.</w:t>
      </w:r>
    </w:p>
    <w:p w14:paraId="421F33C0" w14:textId="77777777" w:rsidR="00FA4D36" w:rsidRPr="00603B66" w:rsidRDefault="00FA4D36" w:rsidP="00FA4D36">
      <w:pPr>
        <w:rPr>
          <w:rFonts w:ascii="Arial" w:hAnsi="Arial" w:cs="Arial"/>
        </w:rPr>
      </w:pPr>
      <w:r w:rsidRPr="00B523AD">
        <w:rPr>
          <w:rFonts w:ascii="Arial" w:hAnsi="Arial" w:cs="Arial"/>
          <w:b/>
          <w:bCs/>
        </w:rPr>
        <w:t>Impact</w:t>
      </w:r>
    </w:p>
    <w:p w14:paraId="4211126F" w14:textId="62AC0357" w:rsidR="00FA4D36" w:rsidRPr="00603B66" w:rsidRDefault="00FA4D36" w:rsidP="00FA4D36">
      <w:pPr>
        <w:rPr>
          <w:rFonts w:ascii="Arial" w:hAnsi="Arial" w:cs="Arial"/>
        </w:rPr>
      </w:pPr>
      <w:r w:rsidRPr="00603B66">
        <w:rPr>
          <w:rFonts w:ascii="Arial" w:hAnsi="Arial" w:cs="Arial"/>
        </w:rPr>
        <w:t>What long-term difference will your project make?</w:t>
      </w:r>
    </w:p>
    <w:p w14:paraId="23FD0351" w14:textId="77777777" w:rsidR="00FA4D36" w:rsidRPr="00B523AD" w:rsidRDefault="00FA4D36" w:rsidP="00FA4D36">
      <w:pPr>
        <w:rPr>
          <w:rFonts w:ascii="Arial" w:hAnsi="Arial" w:cs="Arial"/>
          <w:b/>
          <w:bCs/>
        </w:rPr>
      </w:pPr>
      <w:r w:rsidRPr="00B523AD">
        <w:rPr>
          <w:rFonts w:ascii="Arial" w:hAnsi="Arial" w:cs="Arial"/>
          <w:b/>
          <w:bCs/>
        </w:rPr>
        <w:t>Costs</w:t>
      </w:r>
    </w:p>
    <w:p w14:paraId="3C750FD8" w14:textId="77777777" w:rsidR="00FA4D36" w:rsidRDefault="00FA4D36" w:rsidP="00FA4D36">
      <w:pPr>
        <w:numPr>
          <w:ilvl w:val="0"/>
          <w:numId w:val="36"/>
        </w:numPr>
        <w:rPr>
          <w:rFonts w:ascii="Arial" w:hAnsi="Arial" w:cs="Arial"/>
        </w:rPr>
      </w:pPr>
      <w:r w:rsidRPr="00B523AD">
        <w:rPr>
          <w:rFonts w:ascii="Arial" w:hAnsi="Arial" w:cs="Arial"/>
        </w:rPr>
        <w:t>Cost Breakdown </w:t>
      </w:r>
      <w:r>
        <w:rPr>
          <w:rFonts w:ascii="Arial" w:hAnsi="Arial" w:cs="Arial"/>
        </w:rPr>
        <w:t>as detailed above.</w:t>
      </w:r>
    </w:p>
    <w:p w14:paraId="71EDAE01" w14:textId="77777777" w:rsidR="00FA4D36" w:rsidRPr="00B523AD" w:rsidRDefault="00FA4D36" w:rsidP="00FA4D36">
      <w:pPr>
        <w:rPr>
          <w:rFonts w:ascii="Arial" w:hAnsi="Arial" w:cs="Arial"/>
        </w:rPr>
      </w:pPr>
    </w:p>
    <w:p w14:paraId="463942B7" w14:textId="77777777" w:rsidR="00FA4D36" w:rsidRDefault="00FA4D36" w:rsidP="00FA4D36">
      <w:pPr>
        <w:rPr>
          <w:rFonts w:ascii="Arial" w:hAnsi="Arial" w:cs="Arial"/>
          <w:b/>
          <w:bCs/>
        </w:rPr>
      </w:pPr>
    </w:p>
    <w:p w14:paraId="1DC1451E" w14:textId="77777777" w:rsidR="00FA4D36" w:rsidRPr="00B523AD" w:rsidRDefault="00FA4D36" w:rsidP="00FA4D36">
      <w:pPr>
        <w:rPr>
          <w:rFonts w:ascii="Arial" w:hAnsi="Arial" w:cs="Arial"/>
          <w:b/>
          <w:bCs/>
        </w:rPr>
      </w:pPr>
      <w:r w:rsidRPr="00B523AD">
        <w:rPr>
          <w:rFonts w:ascii="Arial" w:hAnsi="Arial" w:cs="Arial"/>
          <w:b/>
          <w:bCs/>
        </w:rPr>
        <w:lastRenderedPageBreak/>
        <w:t xml:space="preserve">Evaluation </w:t>
      </w:r>
    </w:p>
    <w:p w14:paraId="1A855330" w14:textId="77777777" w:rsidR="00FA4D36" w:rsidRPr="00B523AD" w:rsidRDefault="00FA4D36" w:rsidP="00FA4D36">
      <w:pPr>
        <w:rPr>
          <w:rFonts w:ascii="Arial" w:hAnsi="Arial" w:cs="Arial"/>
        </w:rPr>
      </w:pPr>
      <w:r w:rsidRPr="00B523AD">
        <w:rPr>
          <w:rFonts w:ascii="Arial" w:hAnsi="Arial" w:cs="Arial"/>
          <w:b/>
          <w:bCs/>
        </w:rPr>
        <w:t>How will you measure success?</w:t>
      </w:r>
      <w:r w:rsidRPr="00603B66">
        <w:rPr>
          <w:rFonts w:ascii="Arial" w:hAnsi="Arial" w:cs="Arial"/>
          <w:b/>
          <w:bCs/>
          <w:color w:val="FF0000"/>
        </w:rPr>
        <w:t xml:space="preserve"> </w:t>
      </w:r>
      <w:r w:rsidRPr="00B523AD">
        <w:rPr>
          <w:rFonts w:ascii="Arial" w:hAnsi="Arial" w:cs="Arial"/>
          <w:b/>
          <w:bCs/>
        </w:rPr>
        <w:br/>
      </w:r>
      <w:r w:rsidRPr="00B523AD">
        <w:rPr>
          <w:rFonts w:ascii="Arial" w:hAnsi="Arial" w:cs="Arial"/>
        </w:rPr>
        <w:t>Outline:</w:t>
      </w:r>
    </w:p>
    <w:p w14:paraId="07D51043" w14:textId="77777777" w:rsidR="00FA4D36" w:rsidRPr="00B523AD" w:rsidRDefault="00FA4D36" w:rsidP="00FA4D36">
      <w:pPr>
        <w:numPr>
          <w:ilvl w:val="0"/>
          <w:numId w:val="37"/>
        </w:numPr>
        <w:rPr>
          <w:rFonts w:ascii="Arial" w:hAnsi="Arial" w:cs="Arial"/>
        </w:rPr>
      </w:pPr>
      <w:r w:rsidRPr="00B523AD">
        <w:rPr>
          <w:rFonts w:ascii="Arial" w:hAnsi="Arial" w:cs="Arial"/>
        </w:rPr>
        <w:t>Monitoring and evaluation methods</w:t>
      </w:r>
    </w:p>
    <w:p w14:paraId="13DD9A2F" w14:textId="77777777" w:rsidR="00FA4D36" w:rsidRPr="00B523AD" w:rsidRDefault="00FA4D36" w:rsidP="00FA4D36">
      <w:pPr>
        <w:numPr>
          <w:ilvl w:val="0"/>
          <w:numId w:val="37"/>
        </w:numPr>
        <w:rPr>
          <w:rFonts w:ascii="Arial" w:hAnsi="Arial" w:cs="Arial"/>
        </w:rPr>
      </w:pPr>
      <w:r w:rsidRPr="2D84924D">
        <w:rPr>
          <w:rFonts w:ascii="Arial" w:hAnsi="Arial" w:cs="Arial"/>
        </w:rPr>
        <w:t>How outcomes will be tracked</w:t>
      </w:r>
    </w:p>
    <w:p w14:paraId="3770A742" w14:textId="77777777" w:rsidR="00FA4D36" w:rsidRPr="00B523AD" w:rsidRDefault="00FA4D36" w:rsidP="00FA4D36">
      <w:pPr>
        <w:rPr>
          <w:rFonts w:ascii="Arial" w:hAnsi="Arial" w:cs="Arial"/>
          <w:b/>
          <w:bCs/>
        </w:rPr>
      </w:pPr>
      <w:r w:rsidRPr="00B523AD">
        <w:rPr>
          <w:rFonts w:ascii="Arial" w:hAnsi="Arial" w:cs="Arial"/>
          <w:b/>
          <w:bCs/>
        </w:rPr>
        <w:t>Partnerships &amp; Engagement</w:t>
      </w:r>
    </w:p>
    <w:p w14:paraId="77CD72EE" w14:textId="77777777" w:rsidR="00FA4D36" w:rsidRPr="00B523AD" w:rsidRDefault="00FA4D36" w:rsidP="00FA4D36">
      <w:pPr>
        <w:rPr>
          <w:rFonts w:ascii="Arial" w:hAnsi="Arial" w:cs="Arial"/>
          <w:b/>
          <w:bCs/>
        </w:rPr>
      </w:pPr>
      <w:r w:rsidRPr="00B523AD">
        <w:rPr>
          <w:rFonts w:ascii="Arial" w:hAnsi="Arial" w:cs="Arial"/>
          <w:b/>
          <w:bCs/>
        </w:rPr>
        <w:t>Who else is involved and how?</w:t>
      </w:r>
    </w:p>
    <w:p w14:paraId="1FBEFA24" w14:textId="53986406" w:rsidR="00FA4D36" w:rsidRPr="00B523AD" w:rsidRDefault="00FA4D36" w:rsidP="00FA4D36">
      <w:pPr>
        <w:numPr>
          <w:ilvl w:val="0"/>
          <w:numId w:val="38"/>
        </w:numPr>
        <w:rPr>
          <w:rFonts w:ascii="Arial" w:hAnsi="Arial" w:cs="Arial"/>
        </w:rPr>
      </w:pPr>
      <w:r w:rsidRPr="00B523AD">
        <w:rPr>
          <w:rFonts w:ascii="Arial" w:hAnsi="Arial" w:cs="Arial"/>
        </w:rPr>
        <w:t xml:space="preserve">Detail </w:t>
      </w:r>
      <w:r>
        <w:rPr>
          <w:rFonts w:ascii="Arial" w:hAnsi="Arial" w:cs="Arial"/>
        </w:rPr>
        <w:t>your current engagement and future intention of collaborating</w:t>
      </w:r>
    </w:p>
    <w:p w14:paraId="7C8EFD48" w14:textId="77777777" w:rsidR="00FA4D36" w:rsidRPr="00B523AD" w:rsidRDefault="00FA4D36" w:rsidP="00FA4D36">
      <w:pPr>
        <w:numPr>
          <w:ilvl w:val="0"/>
          <w:numId w:val="38"/>
        </w:numPr>
        <w:rPr>
          <w:rFonts w:ascii="Arial" w:hAnsi="Arial" w:cs="Arial"/>
        </w:rPr>
      </w:pPr>
      <w:r w:rsidRPr="00B523AD">
        <w:rPr>
          <w:rFonts w:ascii="Arial" w:hAnsi="Arial" w:cs="Arial"/>
        </w:rPr>
        <w:t>List other organisations involved and their contributions</w:t>
      </w:r>
    </w:p>
    <w:p w14:paraId="1497BAEE" w14:textId="77777777" w:rsidR="00FA4D36" w:rsidRDefault="00FA4D36" w:rsidP="00FA4D36">
      <w:pPr>
        <w:numPr>
          <w:ilvl w:val="0"/>
          <w:numId w:val="38"/>
        </w:numPr>
        <w:rPr>
          <w:rFonts w:ascii="Arial" w:hAnsi="Arial" w:cs="Arial"/>
        </w:rPr>
      </w:pPr>
      <w:r w:rsidRPr="00B523AD">
        <w:rPr>
          <w:rFonts w:ascii="Arial" w:hAnsi="Arial" w:cs="Arial"/>
        </w:rPr>
        <w:t>Include any supporting evidence or relevant data</w:t>
      </w:r>
    </w:p>
    <w:p w14:paraId="224C3CE9" w14:textId="77777777" w:rsidR="00427C5C" w:rsidRDefault="00427C5C" w:rsidP="00427C5C">
      <w:pPr>
        <w:rPr>
          <w:rFonts w:ascii="Arial" w:hAnsi="Arial" w:cs="Arial"/>
        </w:rPr>
      </w:pPr>
    </w:p>
    <w:p w14:paraId="08352AB6" w14:textId="77777777" w:rsidR="00427C5C" w:rsidRDefault="00427C5C" w:rsidP="00427C5C">
      <w:pPr>
        <w:rPr>
          <w:rFonts w:ascii="Arial" w:hAnsi="Arial" w:cs="Arial"/>
        </w:rPr>
      </w:pPr>
    </w:p>
    <w:p w14:paraId="705BFC82" w14:textId="77777777" w:rsidR="00427C5C" w:rsidRDefault="00427C5C" w:rsidP="00427C5C">
      <w:pPr>
        <w:rPr>
          <w:rFonts w:ascii="Arial" w:hAnsi="Arial" w:cs="Arial"/>
        </w:rPr>
      </w:pPr>
    </w:p>
    <w:p w14:paraId="6ACA773A" w14:textId="77777777" w:rsidR="00427C5C" w:rsidRDefault="00427C5C" w:rsidP="00427C5C">
      <w:pPr>
        <w:rPr>
          <w:rFonts w:ascii="Arial" w:hAnsi="Arial" w:cs="Arial"/>
        </w:rPr>
      </w:pPr>
    </w:p>
    <w:p w14:paraId="4350CAF0" w14:textId="77777777" w:rsidR="00427C5C" w:rsidRDefault="00427C5C" w:rsidP="00427C5C">
      <w:pPr>
        <w:rPr>
          <w:rFonts w:ascii="Arial" w:hAnsi="Arial" w:cs="Arial"/>
        </w:rPr>
      </w:pPr>
    </w:p>
    <w:p w14:paraId="6E7D7AF0" w14:textId="77777777" w:rsidR="00427C5C" w:rsidRDefault="00427C5C" w:rsidP="00427C5C">
      <w:pPr>
        <w:rPr>
          <w:rFonts w:ascii="Arial" w:hAnsi="Arial" w:cs="Arial"/>
        </w:rPr>
      </w:pPr>
    </w:p>
    <w:p w14:paraId="2A5A10C0" w14:textId="77777777" w:rsidR="00427C5C" w:rsidRDefault="00427C5C" w:rsidP="00427C5C">
      <w:pPr>
        <w:rPr>
          <w:rFonts w:ascii="Arial" w:hAnsi="Arial" w:cs="Arial"/>
        </w:rPr>
      </w:pPr>
    </w:p>
    <w:p w14:paraId="50FED818" w14:textId="77777777" w:rsidR="00427C5C" w:rsidRDefault="00427C5C" w:rsidP="00427C5C">
      <w:pPr>
        <w:rPr>
          <w:rFonts w:ascii="Arial" w:hAnsi="Arial" w:cs="Arial"/>
        </w:rPr>
      </w:pPr>
    </w:p>
    <w:p w14:paraId="4688E245" w14:textId="77777777" w:rsidR="00427C5C" w:rsidRDefault="00427C5C" w:rsidP="00427C5C">
      <w:pPr>
        <w:rPr>
          <w:rFonts w:ascii="Arial" w:hAnsi="Arial" w:cs="Arial"/>
        </w:rPr>
      </w:pPr>
    </w:p>
    <w:p w14:paraId="6F54F760" w14:textId="77777777" w:rsidR="00427C5C" w:rsidRDefault="00427C5C" w:rsidP="00427C5C">
      <w:pPr>
        <w:rPr>
          <w:rFonts w:ascii="Arial" w:hAnsi="Arial" w:cs="Arial"/>
        </w:rPr>
      </w:pPr>
    </w:p>
    <w:p w14:paraId="724CD102" w14:textId="77777777" w:rsidR="00427C5C" w:rsidRDefault="00427C5C" w:rsidP="00427C5C">
      <w:pPr>
        <w:rPr>
          <w:rFonts w:ascii="Arial" w:hAnsi="Arial" w:cs="Arial"/>
        </w:rPr>
      </w:pPr>
    </w:p>
    <w:p w14:paraId="47E7FF74" w14:textId="77777777" w:rsidR="00427C5C" w:rsidRDefault="00427C5C" w:rsidP="00427C5C">
      <w:pPr>
        <w:rPr>
          <w:rFonts w:ascii="Arial" w:hAnsi="Arial" w:cs="Arial"/>
        </w:rPr>
      </w:pPr>
    </w:p>
    <w:p w14:paraId="6DA248A4" w14:textId="77777777" w:rsidR="00427C5C" w:rsidRDefault="00427C5C" w:rsidP="00427C5C">
      <w:pPr>
        <w:rPr>
          <w:rFonts w:ascii="Arial" w:hAnsi="Arial" w:cs="Arial"/>
        </w:rPr>
      </w:pPr>
    </w:p>
    <w:p w14:paraId="23E5BF7B" w14:textId="77777777" w:rsidR="00427C5C" w:rsidRDefault="00427C5C" w:rsidP="00427C5C">
      <w:pPr>
        <w:rPr>
          <w:rFonts w:ascii="Arial" w:hAnsi="Arial" w:cs="Arial"/>
        </w:rPr>
      </w:pPr>
    </w:p>
    <w:p w14:paraId="66B9BAB0" w14:textId="77777777" w:rsidR="00427C5C" w:rsidRDefault="00427C5C" w:rsidP="00427C5C">
      <w:pPr>
        <w:rPr>
          <w:rFonts w:ascii="Arial" w:hAnsi="Arial" w:cs="Arial"/>
        </w:rPr>
      </w:pPr>
    </w:p>
    <w:p w14:paraId="5B1E93C2" w14:textId="77777777" w:rsidR="00427C5C" w:rsidRDefault="00427C5C" w:rsidP="00427C5C">
      <w:pPr>
        <w:rPr>
          <w:rFonts w:ascii="Arial" w:hAnsi="Arial" w:cs="Arial"/>
        </w:rPr>
      </w:pPr>
    </w:p>
    <w:p w14:paraId="0161E85F" w14:textId="77777777" w:rsidR="00427C5C" w:rsidRDefault="00427C5C" w:rsidP="00427C5C">
      <w:pPr>
        <w:rPr>
          <w:rFonts w:ascii="Arial" w:hAnsi="Arial" w:cs="Arial"/>
        </w:rPr>
      </w:pPr>
    </w:p>
    <w:p w14:paraId="64462336" w14:textId="630147E8" w:rsidR="00427C5C" w:rsidRDefault="00427C5C" w:rsidP="00427C5C">
      <w:pPr>
        <w:rPr>
          <w:rFonts w:ascii="Arial" w:hAnsi="Arial" w:cs="Arial"/>
        </w:rPr>
      </w:pPr>
      <w:r>
        <w:rPr>
          <w:rFonts w:ascii="Arial" w:hAnsi="Arial" w:cs="Arial"/>
        </w:rPr>
        <w:br w:type="page"/>
      </w:r>
    </w:p>
    <w:p w14:paraId="78538F36" w14:textId="77777777" w:rsidR="00427C5C" w:rsidRPr="00627493" w:rsidRDefault="00427C5C" w:rsidP="00427C5C">
      <w:pPr>
        <w:jc w:val="center"/>
        <w:rPr>
          <w:b/>
          <w:bCs/>
          <w:sz w:val="28"/>
          <w:szCs w:val="28"/>
          <w:u w:val="single"/>
        </w:rPr>
      </w:pPr>
      <w:r w:rsidRPr="00627493">
        <w:rPr>
          <w:b/>
          <w:bCs/>
          <w:sz w:val="28"/>
          <w:szCs w:val="28"/>
          <w:u w:val="single"/>
        </w:rPr>
        <w:lastRenderedPageBreak/>
        <w:t>Frequently Asked Questions (FAQs)</w:t>
      </w:r>
    </w:p>
    <w:p w14:paraId="38AA0A39" w14:textId="77777777" w:rsidR="00427C5C" w:rsidRPr="00627493" w:rsidRDefault="00427C5C" w:rsidP="00427C5C">
      <w:pPr>
        <w:rPr>
          <w:rFonts w:ascii="Arial" w:hAnsi="Arial" w:cs="Arial"/>
          <w:b/>
          <w:bCs/>
        </w:rPr>
      </w:pPr>
      <w:r w:rsidRPr="00627493">
        <w:rPr>
          <w:rFonts w:ascii="Arial" w:hAnsi="Arial" w:cs="Arial"/>
          <w:b/>
          <w:bCs/>
        </w:rPr>
        <w:t>Eligibility &amp; Application</w:t>
      </w:r>
    </w:p>
    <w:p w14:paraId="6E56ED11" w14:textId="77777777" w:rsidR="00427C5C" w:rsidRPr="00627493" w:rsidRDefault="00427C5C" w:rsidP="00427C5C">
      <w:pPr>
        <w:rPr>
          <w:rFonts w:ascii="Arial" w:hAnsi="Arial" w:cs="Arial"/>
        </w:rPr>
      </w:pPr>
      <w:r w:rsidRPr="00627493">
        <w:rPr>
          <w:rFonts w:ascii="Arial" w:hAnsi="Arial" w:cs="Arial"/>
          <w:b/>
          <w:bCs/>
        </w:rPr>
        <w:t>1. Who can apply for this fund?</w:t>
      </w:r>
      <w:r w:rsidRPr="00627493">
        <w:rPr>
          <w:rFonts w:ascii="Arial" w:hAnsi="Arial" w:cs="Arial"/>
        </w:rPr>
        <w:br/>
        <w:t>Eligible applicants include:</w:t>
      </w:r>
    </w:p>
    <w:p w14:paraId="17D1A681" w14:textId="77777777" w:rsidR="00427C5C" w:rsidRPr="00627493" w:rsidRDefault="00427C5C" w:rsidP="00427C5C">
      <w:pPr>
        <w:numPr>
          <w:ilvl w:val="0"/>
          <w:numId w:val="39"/>
        </w:numPr>
        <w:rPr>
          <w:rFonts w:ascii="Arial" w:hAnsi="Arial" w:cs="Arial"/>
        </w:rPr>
      </w:pPr>
      <w:r w:rsidRPr="00627493">
        <w:rPr>
          <w:rFonts w:ascii="Arial" w:hAnsi="Arial" w:cs="Arial"/>
        </w:rPr>
        <w:t>Charities</w:t>
      </w:r>
    </w:p>
    <w:p w14:paraId="60ED6A1E" w14:textId="77777777" w:rsidR="00427C5C" w:rsidRPr="00627493" w:rsidRDefault="00427C5C" w:rsidP="00427C5C">
      <w:pPr>
        <w:numPr>
          <w:ilvl w:val="0"/>
          <w:numId w:val="39"/>
        </w:numPr>
        <w:rPr>
          <w:rFonts w:ascii="Arial" w:hAnsi="Arial" w:cs="Arial"/>
        </w:rPr>
      </w:pPr>
      <w:r w:rsidRPr="00627493">
        <w:rPr>
          <w:rFonts w:ascii="Arial" w:hAnsi="Arial" w:cs="Arial"/>
        </w:rPr>
        <w:t>Voluntary and community organisations</w:t>
      </w:r>
    </w:p>
    <w:p w14:paraId="0F0CF723" w14:textId="77777777" w:rsidR="00427C5C" w:rsidRPr="00627493" w:rsidRDefault="00427C5C" w:rsidP="00427C5C">
      <w:pPr>
        <w:numPr>
          <w:ilvl w:val="0"/>
          <w:numId w:val="39"/>
        </w:numPr>
        <w:rPr>
          <w:rFonts w:ascii="Arial" w:hAnsi="Arial" w:cs="Arial"/>
        </w:rPr>
      </w:pPr>
      <w:r w:rsidRPr="00627493">
        <w:rPr>
          <w:rFonts w:ascii="Arial" w:hAnsi="Arial" w:cs="Arial"/>
        </w:rPr>
        <w:t>Parish and Town Councils</w:t>
      </w:r>
    </w:p>
    <w:p w14:paraId="7F71C550" w14:textId="77777777" w:rsidR="00427C5C" w:rsidRPr="00627493" w:rsidRDefault="00427C5C" w:rsidP="00427C5C">
      <w:pPr>
        <w:rPr>
          <w:rFonts w:ascii="Arial" w:hAnsi="Arial" w:cs="Arial"/>
        </w:rPr>
      </w:pPr>
      <w:r w:rsidRPr="00627493">
        <w:rPr>
          <w:rFonts w:ascii="Arial" w:hAnsi="Arial" w:cs="Arial"/>
          <w:b/>
          <w:bCs/>
        </w:rPr>
        <w:t>Note:</w:t>
      </w:r>
      <w:r w:rsidRPr="00627493">
        <w:rPr>
          <w:rFonts w:ascii="Arial" w:hAnsi="Arial" w:cs="Arial"/>
        </w:rPr>
        <w:t> Public services/statutory agencies may apply </w:t>
      </w:r>
      <w:r w:rsidRPr="00627493">
        <w:rPr>
          <w:rFonts w:ascii="Arial" w:hAnsi="Arial" w:cs="Arial"/>
          <w:b/>
          <w:bCs/>
        </w:rPr>
        <w:t>only in partnership</w:t>
      </w:r>
      <w:r w:rsidRPr="00627493">
        <w:rPr>
          <w:rFonts w:ascii="Arial" w:hAnsi="Arial" w:cs="Arial"/>
        </w:rPr>
        <w:t> with community-based organisations. Individuals and profit-making companies are not eligible.</w:t>
      </w:r>
    </w:p>
    <w:p w14:paraId="4AAB98D4" w14:textId="77777777" w:rsidR="00427C5C" w:rsidRPr="00627493" w:rsidRDefault="00427C5C" w:rsidP="00427C5C">
      <w:pPr>
        <w:rPr>
          <w:rFonts w:ascii="Arial" w:hAnsi="Arial" w:cs="Arial"/>
        </w:rPr>
      </w:pPr>
      <w:r w:rsidRPr="00627493">
        <w:rPr>
          <w:rFonts w:ascii="Arial" w:hAnsi="Arial" w:cs="Arial"/>
          <w:b/>
          <w:bCs/>
        </w:rPr>
        <w:t>2. Do community groups need to be registered (e.g. as a CIC)?</w:t>
      </w:r>
      <w:r w:rsidRPr="00627493">
        <w:rPr>
          <w:rFonts w:ascii="Arial" w:hAnsi="Arial" w:cs="Arial"/>
        </w:rPr>
        <w:br/>
        <w:t>Yes, registration is essential. Registered groups must provide a constitution or governing document and two years of financial accounts.</w:t>
      </w:r>
    </w:p>
    <w:p w14:paraId="3412E624" w14:textId="77777777" w:rsidR="00427C5C" w:rsidRPr="00627493" w:rsidRDefault="00427C5C" w:rsidP="00427C5C">
      <w:pPr>
        <w:spacing w:after="0"/>
        <w:rPr>
          <w:rFonts w:ascii="Arial" w:hAnsi="Arial" w:cs="Arial"/>
          <w:b/>
          <w:bCs/>
        </w:rPr>
      </w:pPr>
      <w:r w:rsidRPr="00603B66">
        <w:rPr>
          <w:rFonts w:ascii="Arial" w:hAnsi="Arial" w:cs="Arial"/>
          <w:b/>
          <w:bCs/>
        </w:rPr>
        <w:t>3.</w:t>
      </w:r>
      <w:r w:rsidRPr="00627493">
        <w:rPr>
          <w:rFonts w:ascii="Arial" w:hAnsi="Arial" w:cs="Arial"/>
        </w:rPr>
        <w:t xml:space="preserve"> </w:t>
      </w:r>
      <w:r w:rsidRPr="00627493">
        <w:rPr>
          <w:rFonts w:ascii="Arial" w:hAnsi="Arial" w:cs="Arial"/>
          <w:b/>
          <w:bCs/>
        </w:rPr>
        <w:t>What if our organisation does not have two years of financial accounts? Can we still apply?</w:t>
      </w:r>
    </w:p>
    <w:p w14:paraId="5413C6D9" w14:textId="77777777" w:rsidR="00427C5C" w:rsidRPr="00627493" w:rsidRDefault="00427C5C" w:rsidP="00427C5C">
      <w:pPr>
        <w:spacing w:after="0"/>
        <w:rPr>
          <w:rFonts w:ascii="Arial" w:hAnsi="Arial" w:cs="Arial"/>
        </w:rPr>
      </w:pPr>
      <w:r w:rsidRPr="00627493">
        <w:rPr>
          <w:rFonts w:ascii="Arial" w:hAnsi="Arial" w:cs="Arial"/>
        </w:rPr>
        <w:t xml:space="preserve">Yes, you can still apply. If your organisation is newly established and does not yet have two years of financial accounts, you should provide as much financial information as possible—such as a recent bank statement, a start-up budget, or a financial forecast. </w:t>
      </w:r>
    </w:p>
    <w:p w14:paraId="15C04F85" w14:textId="77777777" w:rsidR="00427C5C" w:rsidRPr="00627493" w:rsidRDefault="00427C5C" w:rsidP="00427C5C">
      <w:pPr>
        <w:spacing w:after="0"/>
        <w:rPr>
          <w:rFonts w:ascii="Arial" w:hAnsi="Arial" w:cs="Arial"/>
          <w:b/>
          <w:bCs/>
        </w:rPr>
      </w:pPr>
    </w:p>
    <w:p w14:paraId="0DB76F3F" w14:textId="77777777" w:rsidR="00427C5C" w:rsidRDefault="00427C5C" w:rsidP="00427C5C">
      <w:pPr>
        <w:rPr>
          <w:rFonts w:ascii="Arial" w:hAnsi="Arial" w:cs="Arial"/>
          <w:b/>
          <w:bCs/>
        </w:rPr>
      </w:pPr>
      <w:r>
        <w:rPr>
          <w:rFonts w:ascii="Arial" w:hAnsi="Arial" w:cs="Arial"/>
          <w:b/>
          <w:bCs/>
        </w:rPr>
        <w:t>4</w:t>
      </w:r>
      <w:r w:rsidRPr="00627493">
        <w:rPr>
          <w:rFonts w:ascii="Arial" w:hAnsi="Arial" w:cs="Arial"/>
          <w:b/>
          <w:bCs/>
        </w:rPr>
        <w:t>. What are the key dates?</w:t>
      </w:r>
    </w:p>
    <w:p w14:paraId="513373C4" w14:textId="0D049D79" w:rsidR="00427C5C" w:rsidRPr="00603B66" w:rsidRDefault="00427C5C" w:rsidP="00427C5C">
      <w:pPr>
        <w:pStyle w:val="ListParagraph"/>
        <w:numPr>
          <w:ilvl w:val="0"/>
          <w:numId w:val="40"/>
        </w:numPr>
        <w:rPr>
          <w:rFonts w:ascii="Arial" w:hAnsi="Arial" w:cs="Arial"/>
        </w:rPr>
      </w:pPr>
      <w:r w:rsidRPr="2D84924D">
        <w:rPr>
          <w:rFonts w:ascii="Arial" w:hAnsi="Arial" w:cs="Arial"/>
          <w:b/>
          <w:bCs/>
        </w:rPr>
        <w:t>Opening Date:</w:t>
      </w:r>
      <w:r w:rsidRPr="2D84924D">
        <w:rPr>
          <w:rFonts w:ascii="Arial" w:hAnsi="Arial" w:cs="Arial"/>
        </w:rPr>
        <w:t xml:space="preserve"> Monday </w:t>
      </w:r>
      <w:r w:rsidR="003E00E7">
        <w:rPr>
          <w:rFonts w:ascii="Arial" w:hAnsi="Arial" w:cs="Arial"/>
        </w:rPr>
        <w:t>2</w:t>
      </w:r>
      <w:r w:rsidR="003E00E7" w:rsidRPr="003E00E7">
        <w:rPr>
          <w:rFonts w:ascii="Arial" w:hAnsi="Arial" w:cs="Arial"/>
          <w:vertAlign w:val="superscript"/>
        </w:rPr>
        <w:t>nd</w:t>
      </w:r>
      <w:r w:rsidR="003E00E7">
        <w:rPr>
          <w:rFonts w:ascii="Arial" w:hAnsi="Arial" w:cs="Arial"/>
        </w:rPr>
        <w:t xml:space="preserve"> </w:t>
      </w:r>
      <w:r w:rsidRPr="2D84924D">
        <w:rPr>
          <w:rFonts w:ascii="Arial" w:hAnsi="Arial" w:cs="Arial"/>
        </w:rPr>
        <w:t>February 2026</w:t>
      </w:r>
    </w:p>
    <w:p w14:paraId="3DED02AA" w14:textId="6A9B4B7F" w:rsidR="00427C5C" w:rsidRPr="00603B66" w:rsidRDefault="00427C5C" w:rsidP="00427C5C">
      <w:pPr>
        <w:pStyle w:val="ListParagraph"/>
        <w:numPr>
          <w:ilvl w:val="0"/>
          <w:numId w:val="40"/>
        </w:numPr>
        <w:rPr>
          <w:rFonts w:ascii="Arial" w:hAnsi="Arial" w:cs="Arial"/>
        </w:rPr>
      </w:pPr>
      <w:r w:rsidRPr="2D84924D">
        <w:rPr>
          <w:rFonts w:ascii="Arial" w:hAnsi="Arial" w:cs="Arial"/>
          <w:b/>
          <w:bCs/>
        </w:rPr>
        <w:t>Closing Date:</w:t>
      </w:r>
      <w:r w:rsidRPr="2D84924D">
        <w:rPr>
          <w:rFonts w:ascii="Arial" w:hAnsi="Arial" w:cs="Arial"/>
        </w:rPr>
        <w:t xml:space="preserve"> Monday </w:t>
      </w:r>
      <w:r w:rsidR="003E00E7">
        <w:rPr>
          <w:rFonts w:ascii="Arial" w:hAnsi="Arial" w:cs="Arial"/>
        </w:rPr>
        <w:t>20</w:t>
      </w:r>
      <w:r w:rsidR="003E00E7" w:rsidRPr="003E00E7">
        <w:rPr>
          <w:rFonts w:ascii="Arial" w:hAnsi="Arial" w:cs="Arial"/>
          <w:vertAlign w:val="superscript"/>
        </w:rPr>
        <w:t>th</w:t>
      </w:r>
      <w:r w:rsidRPr="2D84924D">
        <w:rPr>
          <w:rFonts w:ascii="Arial" w:hAnsi="Arial" w:cs="Arial"/>
        </w:rPr>
        <w:t xml:space="preserve"> February 2026</w:t>
      </w:r>
    </w:p>
    <w:p w14:paraId="488C1324" w14:textId="330F32F0" w:rsidR="00427C5C" w:rsidRDefault="00427C5C" w:rsidP="00427C5C">
      <w:pPr>
        <w:pStyle w:val="ListParagraph"/>
        <w:numPr>
          <w:ilvl w:val="0"/>
          <w:numId w:val="40"/>
        </w:numPr>
        <w:rPr>
          <w:rFonts w:ascii="Arial" w:hAnsi="Arial" w:cs="Arial"/>
        </w:rPr>
      </w:pPr>
      <w:r w:rsidRPr="2D84924D">
        <w:rPr>
          <w:rFonts w:ascii="Arial" w:hAnsi="Arial" w:cs="Arial"/>
          <w:b/>
          <w:bCs/>
        </w:rPr>
        <w:t>Decision Notification:</w:t>
      </w:r>
      <w:r w:rsidRPr="2D84924D">
        <w:rPr>
          <w:rFonts w:ascii="Arial" w:hAnsi="Arial" w:cs="Arial"/>
        </w:rPr>
        <w:t xml:space="preserve"> Week Commencing </w:t>
      </w:r>
      <w:r w:rsidR="00AC32C7">
        <w:rPr>
          <w:rFonts w:ascii="Arial" w:hAnsi="Arial" w:cs="Arial"/>
        </w:rPr>
        <w:t>8</w:t>
      </w:r>
      <w:r w:rsidR="00AC32C7" w:rsidRPr="00AC32C7">
        <w:rPr>
          <w:rFonts w:ascii="Arial" w:hAnsi="Arial" w:cs="Arial"/>
          <w:vertAlign w:val="superscript"/>
        </w:rPr>
        <w:t>th</w:t>
      </w:r>
      <w:r w:rsidRPr="2D84924D">
        <w:rPr>
          <w:rFonts w:ascii="Arial" w:hAnsi="Arial" w:cs="Arial"/>
        </w:rPr>
        <w:t xml:space="preserve"> March 2026</w:t>
      </w:r>
    </w:p>
    <w:p w14:paraId="60168277" w14:textId="0D9E54BD" w:rsidR="0083414C" w:rsidRPr="00603B66" w:rsidRDefault="0083414C" w:rsidP="00427C5C">
      <w:pPr>
        <w:pStyle w:val="ListParagraph"/>
        <w:numPr>
          <w:ilvl w:val="0"/>
          <w:numId w:val="40"/>
        </w:numPr>
        <w:rPr>
          <w:rFonts w:ascii="Arial" w:hAnsi="Arial" w:cs="Arial"/>
        </w:rPr>
      </w:pPr>
      <w:r>
        <w:rPr>
          <w:rFonts w:ascii="Arial" w:hAnsi="Arial" w:cs="Arial"/>
          <w:b/>
          <w:bCs/>
        </w:rPr>
        <w:t>Project Start Date:</w:t>
      </w:r>
      <w:r>
        <w:rPr>
          <w:rFonts w:ascii="Arial" w:hAnsi="Arial" w:cs="Arial"/>
        </w:rPr>
        <w:t xml:space="preserve"> </w:t>
      </w:r>
      <w:r w:rsidRPr="00B43643">
        <w:rPr>
          <w:rFonts w:ascii="Arial" w:hAnsi="Arial" w:cs="Arial"/>
        </w:rPr>
        <w:t>April 2026</w:t>
      </w:r>
    </w:p>
    <w:p w14:paraId="40C72EAF" w14:textId="36371160" w:rsidR="00427C5C" w:rsidRDefault="00427C5C" w:rsidP="00427C5C">
      <w:pPr>
        <w:pStyle w:val="ListParagraph"/>
        <w:numPr>
          <w:ilvl w:val="0"/>
          <w:numId w:val="40"/>
        </w:numPr>
        <w:rPr>
          <w:rFonts w:ascii="Arial" w:hAnsi="Arial" w:cs="Arial"/>
        </w:rPr>
      </w:pPr>
      <w:r w:rsidRPr="2D84924D">
        <w:rPr>
          <w:rFonts w:ascii="Arial" w:hAnsi="Arial" w:cs="Arial"/>
          <w:b/>
          <w:bCs/>
        </w:rPr>
        <w:t>Project Completion Deadline:</w:t>
      </w:r>
      <w:r w:rsidR="00AC32C7">
        <w:rPr>
          <w:rFonts w:ascii="Arial" w:hAnsi="Arial" w:cs="Arial"/>
        </w:rPr>
        <w:t xml:space="preserve"> </w:t>
      </w:r>
      <w:r w:rsidR="00AC32C7" w:rsidRPr="00B43643">
        <w:rPr>
          <w:rFonts w:ascii="Arial" w:hAnsi="Arial" w:cs="Arial"/>
        </w:rPr>
        <w:t>March 2028</w:t>
      </w:r>
    </w:p>
    <w:p w14:paraId="382B8329" w14:textId="77777777" w:rsidR="00427C5C" w:rsidRPr="00CF0E85" w:rsidRDefault="00427C5C" w:rsidP="00427C5C">
      <w:pPr>
        <w:rPr>
          <w:rFonts w:ascii="Arial" w:hAnsi="Arial" w:cs="Arial"/>
        </w:rPr>
      </w:pPr>
    </w:p>
    <w:p w14:paraId="687D7133" w14:textId="77777777" w:rsidR="00FA4D36" w:rsidRPr="001061F5" w:rsidRDefault="00FA4D36">
      <w:pPr>
        <w:rPr>
          <w:rFonts w:ascii="Arial" w:hAnsi="Arial" w:cs="Arial"/>
        </w:rPr>
      </w:pPr>
    </w:p>
    <w:sectPr w:rsidR="00FA4D36" w:rsidRPr="001061F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B6EF" w14:textId="77777777" w:rsidR="00CD0809" w:rsidRDefault="00CD0809" w:rsidP="00F4690A">
      <w:pPr>
        <w:spacing w:after="0" w:line="240" w:lineRule="auto"/>
      </w:pPr>
      <w:r>
        <w:separator/>
      </w:r>
    </w:p>
  </w:endnote>
  <w:endnote w:type="continuationSeparator" w:id="0">
    <w:p w14:paraId="5AB757E6" w14:textId="77777777" w:rsidR="00CD0809" w:rsidRDefault="00CD0809" w:rsidP="00F4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CE9B" w14:textId="77777777" w:rsidR="00CD0809" w:rsidRDefault="00CD0809" w:rsidP="00F4690A">
      <w:pPr>
        <w:spacing w:after="0" w:line="240" w:lineRule="auto"/>
      </w:pPr>
      <w:r>
        <w:separator/>
      </w:r>
    </w:p>
  </w:footnote>
  <w:footnote w:type="continuationSeparator" w:id="0">
    <w:p w14:paraId="429D876F" w14:textId="77777777" w:rsidR="00CD0809" w:rsidRDefault="00CD0809" w:rsidP="00F4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6EF" w14:textId="650C484F" w:rsidR="00F4690A" w:rsidRDefault="00F4690A">
    <w:pPr>
      <w:pStyle w:val="Header"/>
    </w:pPr>
    <w:r>
      <w:rPr>
        <w:noProof/>
      </w:rPr>
      <w:drawing>
        <wp:anchor distT="0" distB="0" distL="114300" distR="114300" simplePos="0" relativeHeight="251658240" behindDoc="1" locked="0" layoutInCell="1" allowOverlap="1" wp14:anchorId="233EF0D1" wp14:editId="73FEEDF0">
          <wp:simplePos x="0" y="0"/>
          <wp:positionH relativeFrom="margin">
            <wp:posOffset>2219325</wp:posOffset>
          </wp:positionH>
          <wp:positionV relativeFrom="paragraph">
            <wp:posOffset>-192405</wp:posOffset>
          </wp:positionV>
          <wp:extent cx="977900" cy="972185"/>
          <wp:effectExtent l="0" t="0" r="0" b="0"/>
          <wp:wrapTopAndBottom/>
          <wp:docPr id="134405684" name="Picture 1" descr="A red and whit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white logo with a flowe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7900" cy="9721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5F4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27D4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9308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C059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9F059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0AE0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96AB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55341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93EA4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B13C7C"/>
    <w:multiLevelType w:val="hybridMultilevel"/>
    <w:tmpl w:val="56DCA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20E26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745A9B"/>
    <w:multiLevelType w:val="multilevel"/>
    <w:tmpl w:val="6792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5C42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9095748"/>
    <w:multiLevelType w:val="multilevel"/>
    <w:tmpl w:val="640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C15C7"/>
    <w:multiLevelType w:val="multilevel"/>
    <w:tmpl w:val="83AA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9B04C9"/>
    <w:multiLevelType w:val="multilevel"/>
    <w:tmpl w:val="619899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B5D22D6"/>
    <w:multiLevelType w:val="multilevel"/>
    <w:tmpl w:val="64D0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788D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D617CAF"/>
    <w:multiLevelType w:val="multilevel"/>
    <w:tmpl w:val="1D4A0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B41D97"/>
    <w:multiLevelType w:val="multilevel"/>
    <w:tmpl w:val="C24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FBFE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24102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5D96AB7"/>
    <w:multiLevelType w:val="multilevel"/>
    <w:tmpl w:val="8C90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DD3FA5"/>
    <w:multiLevelType w:val="multilevel"/>
    <w:tmpl w:val="A474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1012BA"/>
    <w:multiLevelType w:val="multilevel"/>
    <w:tmpl w:val="383A7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733BFC"/>
    <w:multiLevelType w:val="multilevel"/>
    <w:tmpl w:val="DBA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EA711E"/>
    <w:multiLevelType w:val="multilevel"/>
    <w:tmpl w:val="B764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E615FE"/>
    <w:multiLevelType w:val="multilevel"/>
    <w:tmpl w:val="D36E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2F1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ED4473B"/>
    <w:multiLevelType w:val="hybridMultilevel"/>
    <w:tmpl w:val="6EBC8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470BA1"/>
    <w:multiLevelType w:val="multilevel"/>
    <w:tmpl w:val="BB0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5885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3A4EAB"/>
    <w:multiLevelType w:val="multilevel"/>
    <w:tmpl w:val="5F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A7FDA"/>
    <w:multiLevelType w:val="multilevel"/>
    <w:tmpl w:val="5B6E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1106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69C3524"/>
    <w:multiLevelType w:val="multilevel"/>
    <w:tmpl w:val="B036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75D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EDC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CF413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CD67EF"/>
    <w:multiLevelType w:val="multilevel"/>
    <w:tmpl w:val="145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299008">
    <w:abstractNumId w:val="14"/>
  </w:num>
  <w:num w:numId="2" w16cid:durableId="166672666">
    <w:abstractNumId w:val="27"/>
  </w:num>
  <w:num w:numId="3" w16cid:durableId="1451239110">
    <w:abstractNumId w:val="33"/>
  </w:num>
  <w:num w:numId="4" w16cid:durableId="1438401598">
    <w:abstractNumId w:val="26"/>
  </w:num>
  <w:num w:numId="5" w16cid:durableId="386805441">
    <w:abstractNumId w:val="32"/>
  </w:num>
  <w:num w:numId="6" w16cid:durableId="282929044">
    <w:abstractNumId w:val="35"/>
  </w:num>
  <w:num w:numId="7" w16cid:durableId="583614034">
    <w:abstractNumId w:val="19"/>
  </w:num>
  <w:num w:numId="8" w16cid:durableId="1664551702">
    <w:abstractNumId w:val="18"/>
  </w:num>
  <w:num w:numId="9" w16cid:durableId="644629651">
    <w:abstractNumId w:val="13"/>
  </w:num>
  <w:num w:numId="10" w16cid:durableId="107554651">
    <w:abstractNumId w:val="11"/>
  </w:num>
  <w:num w:numId="11" w16cid:durableId="1365247019">
    <w:abstractNumId w:val="24"/>
  </w:num>
  <w:num w:numId="12" w16cid:durableId="548612144">
    <w:abstractNumId w:val="28"/>
  </w:num>
  <w:num w:numId="13" w16cid:durableId="38941170">
    <w:abstractNumId w:val="0"/>
  </w:num>
  <w:num w:numId="14" w16cid:durableId="1236471101">
    <w:abstractNumId w:val="34"/>
  </w:num>
  <w:num w:numId="15" w16cid:durableId="2096851927">
    <w:abstractNumId w:val="20"/>
  </w:num>
  <w:num w:numId="16" w16cid:durableId="1575507086">
    <w:abstractNumId w:val="5"/>
  </w:num>
  <w:num w:numId="17" w16cid:durableId="202526074">
    <w:abstractNumId w:val="2"/>
  </w:num>
  <w:num w:numId="18" w16cid:durableId="309746684">
    <w:abstractNumId w:val="21"/>
  </w:num>
  <w:num w:numId="19" w16cid:durableId="185367990">
    <w:abstractNumId w:val="12"/>
  </w:num>
  <w:num w:numId="20" w16cid:durableId="4720238">
    <w:abstractNumId w:val="1"/>
  </w:num>
  <w:num w:numId="21" w16cid:durableId="1659730294">
    <w:abstractNumId w:val="7"/>
  </w:num>
  <w:num w:numId="22" w16cid:durableId="20396060">
    <w:abstractNumId w:val="6"/>
  </w:num>
  <w:num w:numId="23" w16cid:durableId="1542859450">
    <w:abstractNumId w:val="17"/>
  </w:num>
  <w:num w:numId="24" w16cid:durableId="1867525059">
    <w:abstractNumId w:val="31"/>
  </w:num>
  <w:num w:numId="25" w16cid:durableId="560675507">
    <w:abstractNumId w:val="37"/>
  </w:num>
  <w:num w:numId="26" w16cid:durableId="402145175">
    <w:abstractNumId w:val="10"/>
  </w:num>
  <w:num w:numId="27" w16cid:durableId="1329791146">
    <w:abstractNumId w:val="36"/>
  </w:num>
  <w:num w:numId="28" w16cid:durableId="802698048">
    <w:abstractNumId w:val="3"/>
  </w:num>
  <w:num w:numId="29" w16cid:durableId="1609193320">
    <w:abstractNumId w:val="8"/>
  </w:num>
  <w:num w:numId="30" w16cid:durableId="2009937282">
    <w:abstractNumId w:val="38"/>
  </w:num>
  <w:num w:numId="31" w16cid:durableId="1902212255">
    <w:abstractNumId w:val="4"/>
  </w:num>
  <w:num w:numId="32" w16cid:durableId="1187912750">
    <w:abstractNumId w:val="29"/>
  </w:num>
  <w:num w:numId="33" w16cid:durableId="1316835048">
    <w:abstractNumId w:val="15"/>
  </w:num>
  <w:num w:numId="34" w16cid:durableId="414979896">
    <w:abstractNumId w:val="9"/>
  </w:num>
  <w:num w:numId="35" w16cid:durableId="2013750592">
    <w:abstractNumId w:val="16"/>
  </w:num>
  <w:num w:numId="36" w16cid:durableId="1662350680">
    <w:abstractNumId w:val="23"/>
  </w:num>
  <w:num w:numId="37" w16cid:durableId="917786518">
    <w:abstractNumId w:val="22"/>
  </w:num>
  <w:num w:numId="38" w16cid:durableId="742220418">
    <w:abstractNumId w:val="30"/>
  </w:num>
  <w:num w:numId="39" w16cid:durableId="397173556">
    <w:abstractNumId w:val="25"/>
  </w:num>
  <w:num w:numId="40" w16cid:durableId="6956950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B5"/>
    <w:rsid w:val="0007099F"/>
    <w:rsid w:val="000B2F26"/>
    <w:rsid w:val="001061F5"/>
    <w:rsid w:val="001850CE"/>
    <w:rsid w:val="00187CAE"/>
    <w:rsid w:val="001B2A98"/>
    <w:rsid w:val="00200F38"/>
    <w:rsid w:val="002025AB"/>
    <w:rsid w:val="002347D9"/>
    <w:rsid w:val="00236440"/>
    <w:rsid w:val="0025030D"/>
    <w:rsid w:val="002F211C"/>
    <w:rsid w:val="00386965"/>
    <w:rsid w:val="003E00E7"/>
    <w:rsid w:val="003F488A"/>
    <w:rsid w:val="00403AF0"/>
    <w:rsid w:val="00427C5C"/>
    <w:rsid w:val="00436DA3"/>
    <w:rsid w:val="004B3090"/>
    <w:rsid w:val="005E5E8C"/>
    <w:rsid w:val="006C02D0"/>
    <w:rsid w:val="006C3921"/>
    <w:rsid w:val="006D07E7"/>
    <w:rsid w:val="0074485C"/>
    <w:rsid w:val="00747FE3"/>
    <w:rsid w:val="007B54B9"/>
    <w:rsid w:val="007D204F"/>
    <w:rsid w:val="00814AB5"/>
    <w:rsid w:val="0083414C"/>
    <w:rsid w:val="009516AB"/>
    <w:rsid w:val="009633F4"/>
    <w:rsid w:val="009D5239"/>
    <w:rsid w:val="009F67E6"/>
    <w:rsid w:val="00AC32C7"/>
    <w:rsid w:val="00AE7F15"/>
    <w:rsid w:val="00B43643"/>
    <w:rsid w:val="00B45B0F"/>
    <w:rsid w:val="00B924DF"/>
    <w:rsid w:val="00BB3E89"/>
    <w:rsid w:val="00C048B8"/>
    <w:rsid w:val="00C87188"/>
    <w:rsid w:val="00CA44B1"/>
    <w:rsid w:val="00CD0809"/>
    <w:rsid w:val="00D24374"/>
    <w:rsid w:val="00DB52EA"/>
    <w:rsid w:val="00E3635D"/>
    <w:rsid w:val="00E76702"/>
    <w:rsid w:val="00F34CD0"/>
    <w:rsid w:val="00F4690A"/>
    <w:rsid w:val="00F46D34"/>
    <w:rsid w:val="00F53217"/>
    <w:rsid w:val="00FA4D36"/>
    <w:rsid w:val="06BC065F"/>
    <w:rsid w:val="15316D9D"/>
    <w:rsid w:val="2E73DFE6"/>
    <w:rsid w:val="3145F87E"/>
    <w:rsid w:val="334B0B37"/>
    <w:rsid w:val="3D0ECC01"/>
    <w:rsid w:val="4984DA9E"/>
    <w:rsid w:val="4F896509"/>
    <w:rsid w:val="562C94A3"/>
    <w:rsid w:val="5ECFF719"/>
    <w:rsid w:val="6CB4FA53"/>
    <w:rsid w:val="745462E3"/>
    <w:rsid w:val="7E0621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8B39F"/>
  <w15:chartTrackingRefBased/>
  <w15:docId w15:val="{2354DD3E-BB74-4388-A715-624F745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AB5"/>
    <w:rPr>
      <w:rFonts w:eastAsiaTheme="majorEastAsia" w:cstheme="majorBidi"/>
      <w:color w:val="272727" w:themeColor="text1" w:themeTint="D8"/>
    </w:rPr>
  </w:style>
  <w:style w:type="paragraph" w:styleId="Title">
    <w:name w:val="Title"/>
    <w:basedOn w:val="Normal"/>
    <w:next w:val="Normal"/>
    <w:link w:val="TitleChar"/>
    <w:uiPriority w:val="10"/>
    <w:qFormat/>
    <w:rsid w:val="00814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AB5"/>
    <w:pPr>
      <w:spacing w:before="160"/>
      <w:jc w:val="center"/>
    </w:pPr>
    <w:rPr>
      <w:i/>
      <w:iCs/>
      <w:color w:val="404040" w:themeColor="text1" w:themeTint="BF"/>
    </w:rPr>
  </w:style>
  <w:style w:type="character" w:customStyle="1" w:styleId="QuoteChar">
    <w:name w:val="Quote Char"/>
    <w:basedOn w:val="DefaultParagraphFont"/>
    <w:link w:val="Quote"/>
    <w:uiPriority w:val="29"/>
    <w:rsid w:val="00814AB5"/>
    <w:rPr>
      <w:i/>
      <w:iCs/>
      <w:color w:val="404040" w:themeColor="text1" w:themeTint="BF"/>
    </w:rPr>
  </w:style>
  <w:style w:type="paragraph" w:styleId="ListParagraph">
    <w:name w:val="List Paragraph"/>
    <w:basedOn w:val="Normal"/>
    <w:uiPriority w:val="34"/>
    <w:qFormat/>
    <w:rsid w:val="00814AB5"/>
    <w:pPr>
      <w:ind w:left="720"/>
      <w:contextualSpacing/>
    </w:pPr>
  </w:style>
  <w:style w:type="character" w:styleId="IntenseEmphasis">
    <w:name w:val="Intense Emphasis"/>
    <w:basedOn w:val="DefaultParagraphFont"/>
    <w:uiPriority w:val="21"/>
    <w:qFormat/>
    <w:rsid w:val="00814AB5"/>
    <w:rPr>
      <w:i/>
      <w:iCs/>
      <w:color w:val="0F4761" w:themeColor="accent1" w:themeShade="BF"/>
    </w:rPr>
  </w:style>
  <w:style w:type="paragraph" w:styleId="IntenseQuote">
    <w:name w:val="Intense Quote"/>
    <w:basedOn w:val="Normal"/>
    <w:next w:val="Normal"/>
    <w:link w:val="IntenseQuoteChar"/>
    <w:uiPriority w:val="30"/>
    <w:qFormat/>
    <w:rsid w:val="00814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AB5"/>
    <w:rPr>
      <w:i/>
      <w:iCs/>
      <w:color w:val="0F4761" w:themeColor="accent1" w:themeShade="BF"/>
    </w:rPr>
  </w:style>
  <w:style w:type="character" w:styleId="IntenseReference">
    <w:name w:val="Intense Reference"/>
    <w:basedOn w:val="DefaultParagraphFont"/>
    <w:uiPriority w:val="32"/>
    <w:qFormat/>
    <w:rsid w:val="00814AB5"/>
    <w:rPr>
      <w:b/>
      <w:bCs/>
      <w:smallCaps/>
      <w:color w:val="0F4761" w:themeColor="accent1" w:themeShade="BF"/>
      <w:spacing w:val="5"/>
    </w:rPr>
  </w:style>
  <w:style w:type="paragraph" w:styleId="Header">
    <w:name w:val="header"/>
    <w:basedOn w:val="Normal"/>
    <w:link w:val="HeaderChar"/>
    <w:uiPriority w:val="99"/>
    <w:unhideWhenUsed/>
    <w:rsid w:val="00F46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90A"/>
  </w:style>
  <w:style w:type="paragraph" w:styleId="Footer">
    <w:name w:val="footer"/>
    <w:basedOn w:val="Normal"/>
    <w:link w:val="FooterChar"/>
    <w:uiPriority w:val="99"/>
    <w:unhideWhenUsed/>
    <w:rsid w:val="00F46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90A"/>
  </w:style>
  <w:style w:type="paragraph" w:styleId="Revision">
    <w:name w:val="Revision"/>
    <w:hidden/>
    <w:uiPriority w:val="99"/>
    <w:semiHidden/>
    <w:rsid w:val="009D5239"/>
    <w:pPr>
      <w:spacing w:after="0" w:line="240" w:lineRule="auto"/>
    </w:pPr>
  </w:style>
  <w:style w:type="character" w:styleId="CommentReference">
    <w:name w:val="annotation reference"/>
    <w:basedOn w:val="DefaultParagraphFont"/>
    <w:uiPriority w:val="99"/>
    <w:semiHidden/>
    <w:unhideWhenUsed/>
    <w:rsid w:val="00436DA3"/>
    <w:rPr>
      <w:sz w:val="16"/>
      <w:szCs w:val="16"/>
    </w:rPr>
  </w:style>
  <w:style w:type="paragraph" w:styleId="CommentText">
    <w:name w:val="annotation text"/>
    <w:basedOn w:val="Normal"/>
    <w:link w:val="CommentTextChar"/>
    <w:uiPriority w:val="99"/>
    <w:unhideWhenUsed/>
    <w:rsid w:val="00436DA3"/>
    <w:pPr>
      <w:spacing w:line="240" w:lineRule="auto"/>
    </w:pPr>
    <w:rPr>
      <w:sz w:val="20"/>
      <w:szCs w:val="20"/>
    </w:rPr>
  </w:style>
  <w:style w:type="character" w:customStyle="1" w:styleId="CommentTextChar">
    <w:name w:val="Comment Text Char"/>
    <w:basedOn w:val="DefaultParagraphFont"/>
    <w:link w:val="CommentText"/>
    <w:uiPriority w:val="99"/>
    <w:rsid w:val="00436DA3"/>
    <w:rPr>
      <w:sz w:val="20"/>
      <w:szCs w:val="20"/>
    </w:rPr>
  </w:style>
  <w:style w:type="paragraph" w:styleId="CommentSubject">
    <w:name w:val="annotation subject"/>
    <w:basedOn w:val="CommentText"/>
    <w:next w:val="CommentText"/>
    <w:link w:val="CommentSubjectChar"/>
    <w:uiPriority w:val="99"/>
    <w:semiHidden/>
    <w:unhideWhenUsed/>
    <w:rsid w:val="00436DA3"/>
    <w:rPr>
      <w:b/>
      <w:bCs/>
    </w:rPr>
  </w:style>
  <w:style w:type="character" w:customStyle="1" w:styleId="CommentSubjectChar">
    <w:name w:val="Comment Subject Char"/>
    <w:basedOn w:val="CommentTextChar"/>
    <w:link w:val="CommentSubject"/>
    <w:uiPriority w:val="99"/>
    <w:semiHidden/>
    <w:rsid w:val="00436D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2D364494CFC44AC8E19E1C7EC8B8F" ma:contentTypeVersion="3" ma:contentTypeDescription="Create a new document." ma:contentTypeScope="" ma:versionID="da7f3d487da5d8f8ac3d5400ffe170c9">
  <xsd:schema xmlns:xsd="http://www.w3.org/2001/XMLSchema" xmlns:xs="http://www.w3.org/2001/XMLSchema" xmlns:p="http://schemas.microsoft.com/office/2006/metadata/properties" xmlns:ns2="031a22c0-ad99-4839-9fe3-738c48854943" targetNamespace="http://schemas.microsoft.com/office/2006/metadata/properties" ma:root="true" ma:fieldsID="e4abb6c8192764288c82fcb5c6657a43" ns2:_="">
    <xsd:import namespace="031a22c0-ad99-4839-9fe3-738c4885494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22c0-ad99-4839-9fe3-738c48854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F17BD-69D9-4CE2-AEC7-AF9908C02EB4}">
  <ds:schemaRefs>
    <ds:schemaRef ds:uri="http://schemas.microsoft.com/sharepoint/v3/contenttype/forms"/>
  </ds:schemaRefs>
</ds:datastoreItem>
</file>

<file path=customXml/itemProps2.xml><?xml version="1.0" encoding="utf-8"?>
<ds:datastoreItem xmlns:ds="http://schemas.openxmlformats.org/officeDocument/2006/customXml" ds:itemID="{77303B44-B5D6-4AAB-9CC9-577F5DE422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05E734-B4CD-470A-AD78-FFC518EFF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a22c0-ad99-4839-9fe3-738c48854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7</Pages>
  <Words>1202</Words>
  <Characters>7482</Characters>
  <Application>Microsoft Office Word</Application>
  <DocSecurity>0</DocSecurity>
  <Lines>166</Lines>
  <Paragraphs>120</Paragraphs>
  <ScaleCrop>false</ScaleCrop>
  <Company>Lancashire County Council</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Keech, Rebecca</dc:creator>
  <cp:keywords/>
  <dc:description/>
  <cp:lastModifiedBy>Willmott, Beth</cp:lastModifiedBy>
  <cp:revision>22</cp:revision>
  <dcterms:created xsi:type="dcterms:W3CDTF">2026-01-07T11:45:00Z</dcterms:created>
  <dcterms:modified xsi:type="dcterms:W3CDTF">2026-02-05T15:19:00Z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0x010100F502D364494CFC44AC8E19E1C7EC8B8F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