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87DBE" w14:textId="4FD82203" w:rsidR="002369BD" w:rsidRPr="00FB1027" w:rsidRDefault="002369BD" w:rsidP="002369BD">
      <w:pPr>
        <w:pStyle w:val="BodyText"/>
        <w:pBdr>
          <w:bottom w:val="single" w:sz="4" w:space="1" w:color="auto"/>
        </w:pBdr>
        <w:spacing w:before="270" w:after="180"/>
        <w:jc w:val="both"/>
        <w:rPr>
          <w:rFonts w:cs="Arial"/>
          <w:b/>
          <w:szCs w:val="24"/>
        </w:rPr>
      </w:pPr>
      <w:r w:rsidRPr="00FB1027">
        <w:rPr>
          <w:rFonts w:cs="Arial"/>
          <w:b/>
          <w:szCs w:val="24"/>
        </w:rPr>
        <w:t xml:space="preserve">Treasury Management Strategy </w:t>
      </w:r>
      <w:r w:rsidR="00541497" w:rsidRPr="00FB1027">
        <w:rPr>
          <w:rFonts w:cs="Arial"/>
          <w:b/>
          <w:szCs w:val="24"/>
        </w:rPr>
        <w:t>2021/22</w:t>
      </w:r>
    </w:p>
    <w:p w14:paraId="723CCF0B" w14:textId="77777777" w:rsidR="00115EE2" w:rsidRPr="00FB1027" w:rsidRDefault="00115EE2" w:rsidP="00115EE2">
      <w:pPr>
        <w:pStyle w:val="BodyText"/>
        <w:spacing w:before="270" w:after="180"/>
        <w:jc w:val="both"/>
        <w:rPr>
          <w:rFonts w:cs="Arial"/>
          <w:b/>
          <w:szCs w:val="24"/>
        </w:rPr>
      </w:pPr>
      <w:r w:rsidRPr="00FB1027">
        <w:rPr>
          <w:rFonts w:cs="Arial"/>
          <w:b/>
          <w:szCs w:val="24"/>
        </w:rPr>
        <w:t>Background</w:t>
      </w:r>
    </w:p>
    <w:p w14:paraId="21DFBDDA" w14:textId="77777777" w:rsidR="00115EE2" w:rsidRPr="00105E93" w:rsidRDefault="009A755F" w:rsidP="00115EE2">
      <w:pPr>
        <w:tabs>
          <w:tab w:val="num" w:pos="540"/>
        </w:tabs>
        <w:jc w:val="both"/>
        <w:rPr>
          <w:rFonts w:cs="Arial"/>
          <w:szCs w:val="24"/>
        </w:rPr>
      </w:pPr>
      <w:r w:rsidRPr="00105E93">
        <w:rPr>
          <w:rFonts w:cs="Arial"/>
          <w:szCs w:val="24"/>
        </w:rPr>
        <w:t xml:space="preserve">The Local Government Act 2003 (the Act) and supporting Regulations requires the Commissioner to “have regard to” the CIPFA Prudential Code and the CIPFA Treasury Management Code of Practice to set Prudential and Treasury Indicators for the next three years to ensure that the Commissioner’s capital investment plans are affordable, prudent and sustainable.  </w:t>
      </w:r>
      <w:r w:rsidR="00115EE2" w:rsidRPr="00105E93">
        <w:rPr>
          <w:rFonts w:cs="Arial"/>
          <w:szCs w:val="24"/>
        </w:rPr>
        <w:t>Treasury management is defined</w:t>
      </w:r>
      <w:r w:rsidRPr="00105E93">
        <w:rPr>
          <w:rFonts w:cs="Arial"/>
          <w:szCs w:val="24"/>
        </w:rPr>
        <w:t xml:space="preserve"> in the CIPFA treasury management </w:t>
      </w:r>
      <w:r w:rsidR="0009035D" w:rsidRPr="00105E93">
        <w:rPr>
          <w:rFonts w:cs="Arial"/>
          <w:szCs w:val="24"/>
        </w:rPr>
        <w:t xml:space="preserve"> in the public services code of practice (the CIPFA Code) </w:t>
      </w:r>
      <w:r w:rsidR="00115EE2" w:rsidRPr="00105E93">
        <w:rPr>
          <w:rFonts w:cs="Arial"/>
          <w:szCs w:val="24"/>
        </w:rPr>
        <w:t>as  “The management of the authority’s investments and cash flows, its banking, money market and capital market transactions; the effective control of the risks associated with those activities; and the pursuit of optimum performance consistent with those risks.”</w:t>
      </w:r>
    </w:p>
    <w:p w14:paraId="1F831A8E" w14:textId="77777777" w:rsidR="0009035D" w:rsidRPr="00105E93" w:rsidRDefault="0009035D" w:rsidP="00115EE2">
      <w:pPr>
        <w:tabs>
          <w:tab w:val="num" w:pos="540"/>
        </w:tabs>
        <w:jc w:val="both"/>
        <w:rPr>
          <w:rFonts w:cs="Arial"/>
          <w:szCs w:val="24"/>
        </w:rPr>
      </w:pPr>
    </w:p>
    <w:p w14:paraId="039E8292" w14:textId="660C3D7C" w:rsidR="0009035D" w:rsidRPr="00105E93" w:rsidRDefault="00750A26" w:rsidP="00115EE2">
      <w:pPr>
        <w:tabs>
          <w:tab w:val="num" w:pos="540"/>
        </w:tabs>
        <w:jc w:val="both"/>
        <w:rPr>
          <w:rFonts w:cs="Arial"/>
          <w:szCs w:val="24"/>
        </w:rPr>
      </w:pPr>
      <w:r w:rsidRPr="00105E93">
        <w:rPr>
          <w:rFonts w:cs="Arial"/>
          <w:szCs w:val="24"/>
        </w:rPr>
        <w:t xml:space="preserve">The </w:t>
      </w:r>
      <w:r w:rsidR="0009035D" w:rsidRPr="00105E93">
        <w:rPr>
          <w:rFonts w:cs="Arial"/>
          <w:szCs w:val="24"/>
        </w:rPr>
        <w:t xml:space="preserve">CIPFA </w:t>
      </w:r>
      <w:r w:rsidRPr="00105E93">
        <w:rPr>
          <w:rFonts w:cs="Arial"/>
          <w:szCs w:val="24"/>
        </w:rPr>
        <w:t xml:space="preserve">Code includes the </w:t>
      </w:r>
      <w:r w:rsidR="0009035D" w:rsidRPr="00105E93">
        <w:rPr>
          <w:rFonts w:cs="Arial"/>
          <w:szCs w:val="24"/>
        </w:rPr>
        <w:t>recommend</w:t>
      </w:r>
      <w:r w:rsidRPr="00105E93">
        <w:rPr>
          <w:rFonts w:cs="Arial"/>
          <w:szCs w:val="24"/>
        </w:rPr>
        <w:t>ation</w:t>
      </w:r>
      <w:r w:rsidR="0009035D" w:rsidRPr="00105E93">
        <w:rPr>
          <w:rFonts w:cs="Arial"/>
          <w:szCs w:val="24"/>
        </w:rPr>
        <w:t xml:space="preserve"> that authorities adopt the following: </w:t>
      </w:r>
    </w:p>
    <w:p w14:paraId="7303CB5D" w14:textId="77777777" w:rsidR="0009035D" w:rsidRPr="00105E93" w:rsidRDefault="0009035D" w:rsidP="00196349">
      <w:pPr>
        <w:tabs>
          <w:tab w:val="num" w:pos="540"/>
        </w:tabs>
        <w:ind w:left="284" w:hanging="142"/>
        <w:jc w:val="both"/>
        <w:rPr>
          <w:rFonts w:cs="Arial"/>
          <w:szCs w:val="24"/>
        </w:rPr>
      </w:pPr>
    </w:p>
    <w:p w14:paraId="739DB50E" w14:textId="77777777" w:rsidR="0009035D" w:rsidRPr="00105E93" w:rsidRDefault="0009035D" w:rsidP="00196349">
      <w:pPr>
        <w:pStyle w:val="ListParagraph"/>
        <w:numPr>
          <w:ilvl w:val="0"/>
          <w:numId w:val="41"/>
        </w:numPr>
        <w:jc w:val="both"/>
        <w:rPr>
          <w:rFonts w:cs="Arial"/>
          <w:szCs w:val="24"/>
        </w:rPr>
      </w:pPr>
      <w:r w:rsidRPr="00105E93">
        <w:rPr>
          <w:rFonts w:cs="Arial"/>
          <w:szCs w:val="24"/>
        </w:rPr>
        <w:t>Creation and maintenance of a Treasury Management Policy Statement which sets out the policies and objectives of the Commissioner’s treasury management activities, the current version is shown at Appendix 1.</w:t>
      </w:r>
    </w:p>
    <w:p w14:paraId="0437C71C" w14:textId="77777777" w:rsidR="0009035D" w:rsidRPr="00105E93" w:rsidRDefault="0009035D" w:rsidP="0009035D">
      <w:pPr>
        <w:tabs>
          <w:tab w:val="num" w:pos="540"/>
        </w:tabs>
        <w:jc w:val="both"/>
        <w:rPr>
          <w:rFonts w:cs="Arial"/>
          <w:szCs w:val="24"/>
        </w:rPr>
      </w:pPr>
    </w:p>
    <w:p w14:paraId="6ADE3BBC" w14:textId="77777777" w:rsidR="0009035D" w:rsidRPr="00105E93" w:rsidRDefault="0009035D" w:rsidP="00196349">
      <w:pPr>
        <w:pStyle w:val="ListParagraph"/>
        <w:numPr>
          <w:ilvl w:val="0"/>
          <w:numId w:val="41"/>
        </w:numPr>
        <w:jc w:val="both"/>
        <w:rPr>
          <w:rFonts w:cs="Arial"/>
          <w:szCs w:val="24"/>
        </w:rPr>
      </w:pPr>
      <w:r w:rsidRPr="00105E93">
        <w:rPr>
          <w:rFonts w:cs="Arial"/>
          <w:szCs w:val="24"/>
        </w:rPr>
        <w:t xml:space="preserve">Creation and maintenance of Treasury Management Practices which set out the </w:t>
      </w:r>
      <w:proofErr w:type="gramStart"/>
      <w:r w:rsidRPr="00105E93">
        <w:rPr>
          <w:rFonts w:cs="Arial"/>
          <w:szCs w:val="24"/>
        </w:rPr>
        <w:t>manner in which</w:t>
      </w:r>
      <w:proofErr w:type="gramEnd"/>
      <w:r w:rsidRPr="00105E93">
        <w:rPr>
          <w:rFonts w:cs="Arial"/>
          <w:szCs w:val="24"/>
        </w:rPr>
        <w:t xml:space="preserve"> the Commissioner will seek to achieve those policies and objectives.</w:t>
      </w:r>
      <w:r w:rsidR="00750A26" w:rsidRPr="00105E93">
        <w:rPr>
          <w:rFonts w:cs="Arial"/>
          <w:szCs w:val="24"/>
        </w:rPr>
        <w:t xml:space="preserve"> This is delegated to the Chief Finance Officer.</w:t>
      </w:r>
    </w:p>
    <w:p w14:paraId="6AA68ED6" w14:textId="77777777" w:rsidR="0009035D" w:rsidRPr="00105E93" w:rsidRDefault="0009035D" w:rsidP="0009035D">
      <w:pPr>
        <w:tabs>
          <w:tab w:val="num" w:pos="540"/>
        </w:tabs>
        <w:jc w:val="both"/>
        <w:rPr>
          <w:rFonts w:cs="Arial"/>
          <w:szCs w:val="24"/>
        </w:rPr>
      </w:pPr>
    </w:p>
    <w:p w14:paraId="12C2852E" w14:textId="77777777" w:rsidR="0009035D" w:rsidRPr="00105E93" w:rsidRDefault="0009035D" w:rsidP="00196349">
      <w:pPr>
        <w:pStyle w:val="ListParagraph"/>
        <w:numPr>
          <w:ilvl w:val="0"/>
          <w:numId w:val="41"/>
        </w:numPr>
        <w:jc w:val="both"/>
        <w:rPr>
          <w:rFonts w:cs="Arial"/>
          <w:szCs w:val="24"/>
        </w:rPr>
      </w:pPr>
      <w:r w:rsidRPr="00105E93">
        <w:rPr>
          <w:rFonts w:cs="Arial"/>
          <w:szCs w:val="24"/>
        </w:rPr>
        <w:t>The production of an annual Treasury Management Strategy Statement - including the Annual Investment Strategy and Minimum Revenue Provision Policy - for the year ahead, a Mid-year Review Report and an Annual Report (stewardship report) covering activities during the previous year.</w:t>
      </w:r>
    </w:p>
    <w:p w14:paraId="4B7BFC98" w14:textId="77777777" w:rsidR="0009035D" w:rsidRPr="00105E93" w:rsidRDefault="0009035D" w:rsidP="0009035D">
      <w:pPr>
        <w:tabs>
          <w:tab w:val="num" w:pos="540"/>
        </w:tabs>
        <w:jc w:val="both"/>
        <w:rPr>
          <w:rFonts w:cs="Arial"/>
          <w:szCs w:val="24"/>
        </w:rPr>
      </w:pPr>
    </w:p>
    <w:p w14:paraId="6E96269D" w14:textId="77777777" w:rsidR="0009035D" w:rsidRPr="00105E93" w:rsidRDefault="0009035D" w:rsidP="00196349">
      <w:pPr>
        <w:pStyle w:val="ListParagraph"/>
        <w:numPr>
          <w:ilvl w:val="0"/>
          <w:numId w:val="41"/>
        </w:numPr>
        <w:jc w:val="both"/>
        <w:rPr>
          <w:rFonts w:cs="Arial"/>
          <w:szCs w:val="24"/>
        </w:rPr>
      </w:pPr>
      <w:r w:rsidRPr="00105E93">
        <w:rPr>
          <w:rFonts w:cs="Arial"/>
          <w:szCs w:val="24"/>
        </w:rPr>
        <w:t>Delegation by the Commissioner of responsibilities for implementing and monitoring treasury management policies and practices and for the execution and administration of treasury management decisions.</w:t>
      </w:r>
    </w:p>
    <w:p w14:paraId="1154353F" w14:textId="77777777" w:rsidR="00115EE2" w:rsidRPr="00105E93" w:rsidRDefault="00115EE2" w:rsidP="00115EE2">
      <w:pPr>
        <w:pStyle w:val="BodyText"/>
        <w:jc w:val="both"/>
        <w:rPr>
          <w:rFonts w:cs="Arial"/>
          <w:szCs w:val="24"/>
        </w:rPr>
      </w:pPr>
    </w:p>
    <w:p w14:paraId="668B6E0D" w14:textId="22456E82" w:rsidR="003D1D0C" w:rsidRPr="00EE7172" w:rsidRDefault="003D1D0C">
      <w:pPr>
        <w:jc w:val="both"/>
        <w:rPr>
          <w:rFonts w:cs="Arial"/>
          <w:szCs w:val="24"/>
        </w:rPr>
      </w:pPr>
      <w:r w:rsidRPr="00EE7172">
        <w:rPr>
          <w:rFonts w:cs="Arial"/>
          <w:szCs w:val="24"/>
        </w:rPr>
        <w:t>The PCC</w:t>
      </w:r>
      <w:r w:rsidR="0009035D" w:rsidRPr="00EE7172">
        <w:rPr>
          <w:rFonts w:cs="Arial"/>
          <w:szCs w:val="24"/>
        </w:rPr>
        <w:t xml:space="preserve"> has adopted the Code</w:t>
      </w:r>
      <w:r w:rsidRPr="00EE7172">
        <w:rPr>
          <w:rFonts w:cs="Arial"/>
          <w:szCs w:val="24"/>
        </w:rPr>
        <w:t xml:space="preserve"> </w:t>
      </w:r>
      <w:proofErr w:type="gramStart"/>
      <w:r w:rsidR="00C54E04" w:rsidRPr="00EE7172">
        <w:rPr>
          <w:rFonts w:cs="Arial"/>
          <w:szCs w:val="24"/>
        </w:rPr>
        <w:t xml:space="preserve">and </w:t>
      </w:r>
      <w:r w:rsidRPr="00EE7172">
        <w:rPr>
          <w:rFonts w:cs="Arial"/>
          <w:szCs w:val="24"/>
        </w:rPr>
        <w:t>also</w:t>
      </w:r>
      <w:proofErr w:type="gramEnd"/>
      <w:r w:rsidRPr="00EE7172">
        <w:rPr>
          <w:rFonts w:cs="Arial"/>
          <w:szCs w:val="24"/>
        </w:rPr>
        <w:t xml:space="preserve"> adheres to investment guidance issued by the Ministry of Housing, Communities and Local Government (MHCLG). In 2018 the MHCLG issued new guidance which widens the definition of investments. For treasury management investments the guidance requires authorities to prioritise security, </w:t>
      </w:r>
      <w:proofErr w:type="gramStart"/>
      <w:r w:rsidRPr="00EE7172">
        <w:rPr>
          <w:rFonts w:cs="Arial"/>
          <w:szCs w:val="24"/>
        </w:rPr>
        <w:t>liquidity</w:t>
      </w:r>
      <w:proofErr w:type="gramEnd"/>
      <w:r w:rsidRPr="00EE7172">
        <w:rPr>
          <w:rFonts w:cs="Arial"/>
          <w:szCs w:val="24"/>
        </w:rPr>
        <w:t xml:space="preserve"> and yield in that order of importance. This is consistent with previous guidance. In addition, the guidance definition includes financial and non-financial assets which are held primarily or partially to generate a profit. </w:t>
      </w:r>
    </w:p>
    <w:p w14:paraId="0E09E375" w14:textId="77777777" w:rsidR="003D1D0C" w:rsidRPr="00EE7172" w:rsidRDefault="003D1D0C" w:rsidP="003D1D0C">
      <w:pPr>
        <w:jc w:val="both"/>
        <w:rPr>
          <w:rFonts w:cs="Arial"/>
          <w:szCs w:val="24"/>
        </w:rPr>
      </w:pPr>
    </w:p>
    <w:p w14:paraId="2C67C736" w14:textId="62595E56" w:rsidR="00DB0172" w:rsidRPr="00EE7172" w:rsidRDefault="003D1D0C" w:rsidP="003D1D0C">
      <w:pPr>
        <w:jc w:val="both"/>
        <w:rPr>
          <w:rFonts w:cs="Arial"/>
          <w:szCs w:val="24"/>
        </w:rPr>
      </w:pPr>
      <w:r w:rsidRPr="00EE7172">
        <w:rPr>
          <w:rFonts w:cs="Arial"/>
          <w:szCs w:val="24"/>
        </w:rPr>
        <w:t xml:space="preserve">Where an authority holds non treasury investments it is required to produce a separate investment strategy. Although the definition is wide ranging covering loans to third parties, the holding of property to make a profit it is not considered that the PCC hold any such assets and it does not propose to engage in any such investments in </w:t>
      </w:r>
      <w:r w:rsidR="008C2EA3" w:rsidRPr="00EE7172">
        <w:rPr>
          <w:rFonts w:cs="Arial"/>
          <w:szCs w:val="24"/>
        </w:rPr>
        <w:t>202</w:t>
      </w:r>
      <w:r w:rsidR="00541497" w:rsidRPr="00EE7172">
        <w:rPr>
          <w:rFonts w:cs="Arial"/>
          <w:szCs w:val="24"/>
        </w:rPr>
        <w:t>1/22</w:t>
      </w:r>
      <w:r w:rsidR="00D40B9B" w:rsidRPr="00EE7172">
        <w:rPr>
          <w:rFonts w:cs="Arial"/>
          <w:szCs w:val="24"/>
        </w:rPr>
        <w:t xml:space="preserve">. </w:t>
      </w:r>
    </w:p>
    <w:p w14:paraId="245235F1" w14:textId="77777777" w:rsidR="00DB0172" w:rsidRPr="00EE7172" w:rsidRDefault="00DB0172" w:rsidP="003D1D0C">
      <w:pPr>
        <w:jc w:val="both"/>
        <w:rPr>
          <w:rFonts w:cs="Arial"/>
          <w:szCs w:val="24"/>
        </w:rPr>
      </w:pPr>
    </w:p>
    <w:p w14:paraId="00EC116E" w14:textId="77777777" w:rsidR="00A03FCC" w:rsidRPr="00EE7172" w:rsidRDefault="00A03FCC" w:rsidP="003D1D0C">
      <w:pPr>
        <w:jc w:val="both"/>
        <w:rPr>
          <w:rFonts w:cs="Arial"/>
          <w:szCs w:val="24"/>
        </w:rPr>
      </w:pPr>
    </w:p>
    <w:p w14:paraId="7B65693F" w14:textId="7D650BB8" w:rsidR="00A03FCC" w:rsidRPr="00EE7172" w:rsidRDefault="00A03FCC" w:rsidP="003D1D0C">
      <w:pPr>
        <w:jc w:val="both"/>
        <w:rPr>
          <w:rFonts w:cs="Arial"/>
          <w:szCs w:val="24"/>
        </w:rPr>
      </w:pPr>
      <w:r w:rsidRPr="00EE7172">
        <w:rPr>
          <w:rFonts w:cs="Arial"/>
          <w:szCs w:val="24"/>
        </w:rPr>
        <w:t xml:space="preserve">This strategy supports the Commissioner's </w:t>
      </w:r>
      <w:r w:rsidR="00E22AE8">
        <w:rPr>
          <w:rFonts w:cs="Arial"/>
          <w:szCs w:val="24"/>
        </w:rPr>
        <w:t>M</w:t>
      </w:r>
      <w:r w:rsidR="00E22AE8" w:rsidRPr="00EE7172">
        <w:rPr>
          <w:rFonts w:cs="Arial"/>
          <w:szCs w:val="24"/>
        </w:rPr>
        <w:t>edium-Term</w:t>
      </w:r>
      <w:r w:rsidRPr="00EE7172">
        <w:rPr>
          <w:rFonts w:cs="Arial"/>
          <w:szCs w:val="24"/>
        </w:rPr>
        <w:t xml:space="preserve"> </w:t>
      </w:r>
      <w:r w:rsidR="008247B3">
        <w:rPr>
          <w:rFonts w:cs="Arial"/>
          <w:szCs w:val="24"/>
        </w:rPr>
        <w:t>F</w:t>
      </w:r>
      <w:r w:rsidRPr="00EE7172">
        <w:rPr>
          <w:rFonts w:cs="Arial"/>
          <w:szCs w:val="24"/>
        </w:rPr>
        <w:t xml:space="preserve">inancial </w:t>
      </w:r>
      <w:r w:rsidR="008247B3">
        <w:rPr>
          <w:rFonts w:cs="Arial"/>
          <w:szCs w:val="24"/>
        </w:rPr>
        <w:t>S</w:t>
      </w:r>
      <w:r w:rsidRPr="00EE7172">
        <w:rPr>
          <w:rFonts w:cs="Arial"/>
          <w:szCs w:val="24"/>
        </w:rPr>
        <w:t>trategy along with the capital strategy and the reserves strategy.</w:t>
      </w:r>
    </w:p>
    <w:p w14:paraId="7C83903E" w14:textId="77777777" w:rsidR="00115EE2" w:rsidRPr="00105E93" w:rsidRDefault="00115EE2" w:rsidP="00115EE2">
      <w:pPr>
        <w:jc w:val="both"/>
        <w:rPr>
          <w:rFonts w:cs="Arial"/>
          <w:szCs w:val="24"/>
        </w:rPr>
      </w:pPr>
    </w:p>
    <w:p w14:paraId="5E4197BA" w14:textId="77777777" w:rsidR="00115EE2" w:rsidRPr="00EE7172" w:rsidRDefault="009A755F" w:rsidP="00115EE2">
      <w:pPr>
        <w:pStyle w:val="BodyText"/>
        <w:jc w:val="both"/>
        <w:rPr>
          <w:rFonts w:cs="Arial"/>
          <w:color w:val="000000"/>
          <w:szCs w:val="24"/>
        </w:rPr>
      </w:pPr>
      <w:r w:rsidRPr="00EE7172">
        <w:rPr>
          <w:rFonts w:cs="Arial"/>
          <w:color w:val="000000"/>
          <w:szCs w:val="24"/>
        </w:rPr>
        <w:t>This report fulfils the Authority’s legal obligation under the Local Government Act 2003 to have regard to both the CIPFA Code and the MHCLG Guidance.</w:t>
      </w:r>
    </w:p>
    <w:p w14:paraId="1566A87E" w14:textId="77777777" w:rsidR="009A755F" w:rsidRPr="00EE7172" w:rsidRDefault="009A755F" w:rsidP="00115EE2">
      <w:pPr>
        <w:pStyle w:val="BodyText"/>
        <w:jc w:val="both"/>
        <w:rPr>
          <w:rFonts w:cs="Arial"/>
          <w:color w:val="000000"/>
          <w:szCs w:val="24"/>
        </w:rPr>
      </w:pPr>
    </w:p>
    <w:p w14:paraId="3BB2FFE5" w14:textId="77777777" w:rsidR="00750A26" w:rsidRPr="00E23983" w:rsidRDefault="00750A26" w:rsidP="00196349">
      <w:pPr>
        <w:pStyle w:val="BodyText"/>
        <w:jc w:val="both"/>
        <w:rPr>
          <w:rFonts w:cs="Arial"/>
          <w:b/>
          <w:color w:val="000000"/>
          <w:szCs w:val="24"/>
        </w:rPr>
      </w:pPr>
      <w:r w:rsidRPr="00E23983">
        <w:rPr>
          <w:rFonts w:cs="Arial"/>
          <w:b/>
          <w:color w:val="000000"/>
          <w:szCs w:val="24"/>
        </w:rPr>
        <w:t xml:space="preserve">Reporting requirements </w:t>
      </w:r>
    </w:p>
    <w:p w14:paraId="5D0FC869" w14:textId="77777777" w:rsidR="00750A26" w:rsidRDefault="00750A26" w:rsidP="00196349">
      <w:pPr>
        <w:pStyle w:val="BodyText"/>
        <w:jc w:val="both"/>
        <w:rPr>
          <w:rFonts w:cs="Arial"/>
          <w:color w:val="000000"/>
          <w:szCs w:val="24"/>
          <w:highlight w:val="cyan"/>
        </w:rPr>
      </w:pPr>
    </w:p>
    <w:p w14:paraId="41884447" w14:textId="77777777" w:rsidR="00750A26" w:rsidRPr="0007216A" w:rsidRDefault="00750A26" w:rsidP="00750A26">
      <w:pPr>
        <w:pStyle w:val="BodyText"/>
        <w:jc w:val="both"/>
        <w:rPr>
          <w:rFonts w:cs="Arial"/>
          <w:color w:val="000000"/>
          <w:szCs w:val="24"/>
        </w:rPr>
      </w:pPr>
      <w:r>
        <w:rPr>
          <w:rFonts w:cs="Arial"/>
          <w:color w:val="000000"/>
          <w:szCs w:val="24"/>
        </w:rPr>
        <w:lastRenderedPageBreak/>
        <w:t>The</w:t>
      </w:r>
      <w:r w:rsidRPr="0007216A">
        <w:rPr>
          <w:rFonts w:cs="Arial"/>
          <w:color w:val="000000"/>
          <w:szCs w:val="24"/>
        </w:rPr>
        <w:t xml:space="preserve"> following reporting arrangements </w:t>
      </w:r>
      <w:r>
        <w:rPr>
          <w:rFonts w:cs="Arial"/>
          <w:color w:val="000000"/>
          <w:szCs w:val="24"/>
        </w:rPr>
        <w:t xml:space="preserve">will be adopted </w:t>
      </w:r>
      <w:r w:rsidRPr="0007216A">
        <w:rPr>
          <w:rFonts w:cs="Arial"/>
          <w:color w:val="000000"/>
          <w:szCs w:val="24"/>
        </w:rPr>
        <w:t>in accordance with the requirements of the revised Code: -</w:t>
      </w:r>
    </w:p>
    <w:p w14:paraId="23B0335B" w14:textId="77777777" w:rsidR="00750A26" w:rsidRPr="0007216A" w:rsidRDefault="00750A26" w:rsidP="00750A26">
      <w:pPr>
        <w:numPr>
          <w:ilvl w:val="12"/>
          <w:numId w:val="0"/>
        </w:numPr>
        <w:jc w:val="both"/>
        <w:rPr>
          <w:rFonts w:cs="Arial"/>
          <w:szCs w:val="24"/>
        </w:rPr>
      </w:pPr>
    </w:p>
    <w:tbl>
      <w:tblPr>
        <w:tblW w:w="0" w:type="auto"/>
        <w:tblBorders>
          <w:top w:val="single" w:sz="4" w:space="0" w:color="005B82"/>
          <w:left w:val="single" w:sz="4" w:space="0" w:color="005B82"/>
          <w:bottom w:val="single" w:sz="4" w:space="0" w:color="005B82"/>
          <w:right w:val="single" w:sz="4" w:space="0" w:color="005B82"/>
          <w:insideH w:val="single" w:sz="4" w:space="0" w:color="005B82"/>
          <w:insideV w:val="single" w:sz="4" w:space="0" w:color="005B82"/>
        </w:tblBorders>
        <w:tblLook w:val="01E0" w:firstRow="1" w:lastRow="1" w:firstColumn="1" w:lastColumn="1" w:noHBand="0" w:noVBand="0"/>
      </w:tblPr>
      <w:tblGrid>
        <w:gridCol w:w="3665"/>
        <w:gridCol w:w="2391"/>
        <w:gridCol w:w="3187"/>
      </w:tblGrid>
      <w:tr w:rsidR="00750A26" w:rsidRPr="00DF4956" w14:paraId="74D85B71" w14:textId="77777777" w:rsidTr="00842137">
        <w:trPr>
          <w:trHeight w:val="459"/>
        </w:trPr>
        <w:tc>
          <w:tcPr>
            <w:tcW w:w="3665" w:type="dxa"/>
            <w:vAlign w:val="center"/>
          </w:tcPr>
          <w:p w14:paraId="39AF028D" w14:textId="77777777" w:rsidR="00750A26" w:rsidRPr="00DF4956" w:rsidRDefault="00750A26" w:rsidP="00842137">
            <w:pPr>
              <w:numPr>
                <w:ilvl w:val="12"/>
                <w:numId w:val="0"/>
              </w:numPr>
              <w:rPr>
                <w:rFonts w:cs="Arial"/>
                <w:b/>
                <w:color w:val="000000"/>
                <w:szCs w:val="24"/>
              </w:rPr>
            </w:pPr>
            <w:r w:rsidRPr="00DF4956">
              <w:rPr>
                <w:rFonts w:cs="Arial"/>
                <w:b/>
                <w:color w:val="000000"/>
                <w:szCs w:val="24"/>
              </w:rPr>
              <w:t>Area of Responsibility</w:t>
            </w:r>
          </w:p>
        </w:tc>
        <w:tc>
          <w:tcPr>
            <w:tcW w:w="2391" w:type="dxa"/>
            <w:vAlign w:val="center"/>
          </w:tcPr>
          <w:p w14:paraId="0A01A28F" w14:textId="77777777" w:rsidR="00750A26" w:rsidRPr="00DF4956" w:rsidRDefault="00750A26" w:rsidP="00842137">
            <w:pPr>
              <w:numPr>
                <w:ilvl w:val="12"/>
                <w:numId w:val="0"/>
              </w:numPr>
              <w:rPr>
                <w:rFonts w:cs="Arial"/>
                <w:b/>
                <w:color w:val="000000"/>
                <w:szCs w:val="24"/>
              </w:rPr>
            </w:pPr>
            <w:r w:rsidRPr="00DF4956">
              <w:rPr>
                <w:rFonts w:cs="Arial"/>
                <w:b/>
                <w:color w:val="000000"/>
                <w:szCs w:val="24"/>
              </w:rPr>
              <w:t>Committee/ Officer</w:t>
            </w:r>
          </w:p>
        </w:tc>
        <w:tc>
          <w:tcPr>
            <w:tcW w:w="3187" w:type="dxa"/>
            <w:vAlign w:val="center"/>
          </w:tcPr>
          <w:p w14:paraId="7BC5F86D" w14:textId="77777777" w:rsidR="00750A26" w:rsidRPr="00DF4956" w:rsidRDefault="00750A26" w:rsidP="00842137">
            <w:pPr>
              <w:numPr>
                <w:ilvl w:val="12"/>
                <w:numId w:val="0"/>
              </w:numPr>
              <w:rPr>
                <w:rFonts w:cs="Arial"/>
                <w:b/>
                <w:color w:val="000000"/>
                <w:szCs w:val="24"/>
              </w:rPr>
            </w:pPr>
            <w:r w:rsidRPr="00DF4956">
              <w:rPr>
                <w:rFonts w:cs="Arial"/>
                <w:b/>
                <w:color w:val="000000"/>
                <w:szCs w:val="24"/>
              </w:rPr>
              <w:t>Frequency</w:t>
            </w:r>
          </w:p>
        </w:tc>
      </w:tr>
      <w:tr w:rsidR="00750A26" w:rsidRPr="00DF4956" w14:paraId="6F621EA6" w14:textId="77777777" w:rsidTr="00EE76B8">
        <w:trPr>
          <w:trHeight w:val="699"/>
        </w:trPr>
        <w:tc>
          <w:tcPr>
            <w:tcW w:w="3665" w:type="dxa"/>
            <w:shd w:val="clear" w:color="auto" w:fill="auto"/>
          </w:tcPr>
          <w:p w14:paraId="2B38E2FB" w14:textId="77777777" w:rsidR="00750A26" w:rsidRPr="00DF4956" w:rsidRDefault="00750A26" w:rsidP="00EE76B8">
            <w:pPr>
              <w:numPr>
                <w:ilvl w:val="12"/>
                <w:numId w:val="0"/>
              </w:numPr>
              <w:rPr>
                <w:rFonts w:cs="Arial"/>
                <w:color w:val="000000"/>
                <w:szCs w:val="24"/>
              </w:rPr>
            </w:pPr>
            <w:r w:rsidRPr="00DF4956">
              <w:rPr>
                <w:rFonts w:cs="Arial"/>
                <w:color w:val="000000"/>
                <w:szCs w:val="24"/>
              </w:rPr>
              <w:t xml:space="preserve">Treasury Management Policy Statement </w:t>
            </w:r>
          </w:p>
        </w:tc>
        <w:tc>
          <w:tcPr>
            <w:tcW w:w="2391" w:type="dxa"/>
          </w:tcPr>
          <w:p w14:paraId="4068846F" w14:textId="77777777" w:rsidR="00750A26" w:rsidRPr="00DF4956" w:rsidRDefault="00750A26" w:rsidP="00EE76B8">
            <w:pPr>
              <w:numPr>
                <w:ilvl w:val="12"/>
                <w:numId w:val="0"/>
              </w:numPr>
              <w:rPr>
                <w:rFonts w:cs="Arial"/>
                <w:color w:val="000000"/>
                <w:szCs w:val="24"/>
              </w:rPr>
            </w:pPr>
            <w:r w:rsidRPr="00DF4956">
              <w:rPr>
                <w:rFonts w:cs="Arial"/>
                <w:color w:val="000000"/>
                <w:szCs w:val="24"/>
              </w:rPr>
              <w:t>Police and Crime Commissioner</w:t>
            </w:r>
          </w:p>
          <w:p w14:paraId="04AD7A95" w14:textId="77777777" w:rsidR="00750A26" w:rsidRPr="00DF4956" w:rsidRDefault="00750A26" w:rsidP="00EE76B8">
            <w:pPr>
              <w:numPr>
                <w:ilvl w:val="12"/>
                <w:numId w:val="0"/>
              </w:numPr>
              <w:rPr>
                <w:rFonts w:cs="Arial"/>
                <w:color w:val="000000"/>
                <w:szCs w:val="24"/>
              </w:rPr>
            </w:pPr>
          </w:p>
        </w:tc>
        <w:tc>
          <w:tcPr>
            <w:tcW w:w="3187" w:type="dxa"/>
          </w:tcPr>
          <w:p w14:paraId="0E445AF5" w14:textId="77777777" w:rsidR="00750A26" w:rsidRPr="00DF4956" w:rsidRDefault="00750A26" w:rsidP="00EE76B8">
            <w:pPr>
              <w:numPr>
                <w:ilvl w:val="12"/>
                <w:numId w:val="0"/>
              </w:numPr>
              <w:rPr>
                <w:rFonts w:cs="Arial"/>
                <w:color w:val="000000"/>
                <w:szCs w:val="24"/>
              </w:rPr>
            </w:pPr>
            <w:r w:rsidRPr="00DF4956">
              <w:rPr>
                <w:rFonts w:cs="Arial"/>
                <w:color w:val="000000"/>
                <w:szCs w:val="24"/>
              </w:rPr>
              <w:t>Annually before the start of the financial year.</w:t>
            </w:r>
          </w:p>
        </w:tc>
      </w:tr>
      <w:tr w:rsidR="00750A26" w:rsidRPr="00DF4956" w14:paraId="55968B5D" w14:textId="77777777" w:rsidTr="00EE76B8">
        <w:trPr>
          <w:trHeight w:val="950"/>
        </w:trPr>
        <w:tc>
          <w:tcPr>
            <w:tcW w:w="3665" w:type="dxa"/>
            <w:shd w:val="clear" w:color="auto" w:fill="auto"/>
          </w:tcPr>
          <w:p w14:paraId="223EC89B" w14:textId="77777777" w:rsidR="00750A26" w:rsidRPr="00DF4956" w:rsidRDefault="00750A26" w:rsidP="00EE76B8">
            <w:pPr>
              <w:numPr>
                <w:ilvl w:val="12"/>
                <w:numId w:val="0"/>
              </w:numPr>
              <w:rPr>
                <w:rFonts w:cs="Arial"/>
                <w:color w:val="000000"/>
                <w:szCs w:val="24"/>
              </w:rPr>
            </w:pPr>
            <w:r w:rsidRPr="00DF4956">
              <w:rPr>
                <w:rFonts w:cs="Arial"/>
                <w:color w:val="000000"/>
                <w:szCs w:val="24"/>
              </w:rPr>
              <w:t xml:space="preserve">Treasury Management Strategy / Annual Investment Strategy / MRP policy </w:t>
            </w:r>
          </w:p>
        </w:tc>
        <w:tc>
          <w:tcPr>
            <w:tcW w:w="2391" w:type="dxa"/>
          </w:tcPr>
          <w:p w14:paraId="5DA2B75A" w14:textId="77777777" w:rsidR="00750A26" w:rsidRPr="00DF4956" w:rsidRDefault="00750A26" w:rsidP="00EE76B8">
            <w:pPr>
              <w:numPr>
                <w:ilvl w:val="12"/>
                <w:numId w:val="0"/>
              </w:numPr>
              <w:rPr>
                <w:rFonts w:cs="Arial"/>
                <w:color w:val="000000"/>
                <w:szCs w:val="24"/>
              </w:rPr>
            </w:pPr>
            <w:r w:rsidRPr="00DF4956">
              <w:rPr>
                <w:rFonts w:cs="Arial"/>
                <w:color w:val="000000"/>
                <w:szCs w:val="24"/>
              </w:rPr>
              <w:t>Police and Crime Commissioner</w:t>
            </w:r>
          </w:p>
          <w:p w14:paraId="4660D7C1" w14:textId="77777777" w:rsidR="00750A26" w:rsidRPr="00DF4956" w:rsidRDefault="00750A26" w:rsidP="00EE76B8">
            <w:pPr>
              <w:numPr>
                <w:ilvl w:val="12"/>
                <w:numId w:val="0"/>
              </w:numPr>
              <w:rPr>
                <w:rFonts w:cs="Arial"/>
                <w:color w:val="000000"/>
                <w:szCs w:val="24"/>
              </w:rPr>
            </w:pPr>
          </w:p>
        </w:tc>
        <w:tc>
          <w:tcPr>
            <w:tcW w:w="3187" w:type="dxa"/>
          </w:tcPr>
          <w:p w14:paraId="0C41DBB6" w14:textId="77777777" w:rsidR="00750A26" w:rsidRPr="00DF4956" w:rsidRDefault="00750A26" w:rsidP="00EE76B8">
            <w:pPr>
              <w:numPr>
                <w:ilvl w:val="12"/>
                <w:numId w:val="0"/>
              </w:numPr>
              <w:rPr>
                <w:rFonts w:cs="Arial"/>
                <w:color w:val="000000"/>
                <w:szCs w:val="24"/>
              </w:rPr>
            </w:pPr>
            <w:r w:rsidRPr="00DF4956">
              <w:rPr>
                <w:rFonts w:cs="Arial"/>
                <w:color w:val="000000"/>
                <w:szCs w:val="24"/>
              </w:rPr>
              <w:t>Annually before the start of the financial year</w:t>
            </w:r>
          </w:p>
        </w:tc>
      </w:tr>
      <w:tr w:rsidR="00750A26" w:rsidRPr="00DF4956" w14:paraId="0C229523" w14:textId="77777777" w:rsidTr="00EE76B8">
        <w:trPr>
          <w:trHeight w:val="364"/>
        </w:trPr>
        <w:tc>
          <w:tcPr>
            <w:tcW w:w="3665" w:type="dxa"/>
            <w:shd w:val="clear" w:color="auto" w:fill="auto"/>
          </w:tcPr>
          <w:p w14:paraId="0B6D5C1C" w14:textId="5E4946F6" w:rsidR="00750A26" w:rsidRPr="00DF4956" w:rsidRDefault="00EE76B8" w:rsidP="00EE76B8">
            <w:pPr>
              <w:numPr>
                <w:ilvl w:val="12"/>
                <w:numId w:val="0"/>
              </w:numPr>
              <w:rPr>
                <w:rFonts w:cs="Arial"/>
                <w:color w:val="000000"/>
                <w:szCs w:val="24"/>
              </w:rPr>
            </w:pPr>
            <w:r>
              <w:rPr>
                <w:rFonts w:cs="Arial"/>
                <w:color w:val="000000"/>
                <w:szCs w:val="24"/>
              </w:rPr>
              <w:t>M</w:t>
            </w:r>
            <w:r w:rsidRPr="00DF4956">
              <w:rPr>
                <w:rFonts w:cs="Arial"/>
                <w:color w:val="000000"/>
                <w:szCs w:val="24"/>
              </w:rPr>
              <w:t>id-year</w:t>
            </w:r>
            <w:r w:rsidR="00750A26" w:rsidRPr="00DF4956">
              <w:rPr>
                <w:rFonts w:cs="Arial"/>
                <w:color w:val="000000"/>
                <w:szCs w:val="24"/>
              </w:rPr>
              <w:t xml:space="preserve"> </w:t>
            </w:r>
            <w:r w:rsidR="00750A26">
              <w:rPr>
                <w:rFonts w:cs="Arial"/>
                <w:color w:val="000000"/>
                <w:szCs w:val="24"/>
              </w:rPr>
              <w:t>review</w:t>
            </w:r>
            <w:r w:rsidR="00750A26" w:rsidRPr="00DF4956">
              <w:rPr>
                <w:rFonts w:cs="Arial"/>
                <w:color w:val="000000"/>
                <w:szCs w:val="24"/>
              </w:rPr>
              <w:t>, scrutiny of performance</w:t>
            </w:r>
          </w:p>
        </w:tc>
        <w:tc>
          <w:tcPr>
            <w:tcW w:w="2391" w:type="dxa"/>
          </w:tcPr>
          <w:p w14:paraId="7D73522B" w14:textId="77777777" w:rsidR="00750A26" w:rsidRPr="00DF4956" w:rsidRDefault="00750A26" w:rsidP="00EE76B8">
            <w:pPr>
              <w:numPr>
                <w:ilvl w:val="12"/>
                <w:numId w:val="0"/>
              </w:numPr>
              <w:rPr>
                <w:rFonts w:cs="Arial"/>
                <w:color w:val="000000"/>
                <w:szCs w:val="24"/>
              </w:rPr>
            </w:pPr>
            <w:r w:rsidRPr="00DF4956">
              <w:rPr>
                <w:rFonts w:cs="Arial"/>
                <w:color w:val="000000"/>
                <w:szCs w:val="24"/>
              </w:rPr>
              <w:t>Police and Crime Commissioner</w:t>
            </w:r>
          </w:p>
          <w:p w14:paraId="4C243E12" w14:textId="77777777" w:rsidR="00750A26" w:rsidRPr="00DF4956" w:rsidRDefault="00750A26" w:rsidP="00EE76B8">
            <w:pPr>
              <w:numPr>
                <w:ilvl w:val="12"/>
                <w:numId w:val="0"/>
              </w:numPr>
              <w:rPr>
                <w:rFonts w:cs="Arial"/>
                <w:color w:val="000000"/>
                <w:szCs w:val="24"/>
              </w:rPr>
            </w:pPr>
          </w:p>
        </w:tc>
        <w:tc>
          <w:tcPr>
            <w:tcW w:w="3187" w:type="dxa"/>
          </w:tcPr>
          <w:p w14:paraId="256E1B85" w14:textId="393080A8" w:rsidR="00750A26" w:rsidRPr="00DF4956" w:rsidRDefault="00EE76B8" w:rsidP="00EE76B8">
            <w:pPr>
              <w:numPr>
                <w:ilvl w:val="12"/>
                <w:numId w:val="0"/>
              </w:numPr>
              <w:rPr>
                <w:rFonts w:cs="Arial"/>
                <w:color w:val="000000"/>
                <w:szCs w:val="24"/>
              </w:rPr>
            </w:pPr>
            <w:r w:rsidRPr="00DF4956">
              <w:rPr>
                <w:rFonts w:cs="Arial"/>
                <w:color w:val="000000"/>
                <w:szCs w:val="24"/>
              </w:rPr>
              <w:t>Mid-year</w:t>
            </w:r>
            <w:r w:rsidR="00750A26" w:rsidRPr="00DF4956">
              <w:rPr>
                <w:rFonts w:cs="Arial"/>
                <w:color w:val="000000"/>
                <w:szCs w:val="24"/>
              </w:rPr>
              <w:t xml:space="preserve"> – 6 months</w:t>
            </w:r>
          </w:p>
        </w:tc>
      </w:tr>
      <w:tr w:rsidR="00750A26" w:rsidRPr="00DF4956" w14:paraId="42CA3690" w14:textId="77777777" w:rsidTr="00EE76B8">
        <w:trPr>
          <w:trHeight w:val="699"/>
        </w:trPr>
        <w:tc>
          <w:tcPr>
            <w:tcW w:w="3665" w:type="dxa"/>
            <w:shd w:val="clear" w:color="auto" w:fill="auto"/>
          </w:tcPr>
          <w:p w14:paraId="25C00EB2" w14:textId="525D0BD9" w:rsidR="00750A26" w:rsidRPr="00DF4956" w:rsidRDefault="00750A26" w:rsidP="00EE76B8">
            <w:pPr>
              <w:numPr>
                <w:ilvl w:val="12"/>
                <w:numId w:val="0"/>
              </w:numPr>
              <w:rPr>
                <w:rFonts w:cs="Arial"/>
                <w:color w:val="000000"/>
                <w:szCs w:val="24"/>
              </w:rPr>
            </w:pPr>
            <w:r w:rsidRPr="00DF4956">
              <w:rPr>
                <w:rFonts w:cs="Arial"/>
                <w:color w:val="000000"/>
                <w:szCs w:val="24"/>
              </w:rPr>
              <w:t xml:space="preserve">Treasury Management Strategy / Annual Investment Strategy / MRP </w:t>
            </w:r>
            <w:r w:rsidR="00EE76B8" w:rsidRPr="00DF4956">
              <w:rPr>
                <w:rFonts w:cs="Arial"/>
                <w:color w:val="000000"/>
                <w:szCs w:val="24"/>
              </w:rPr>
              <w:t>policy –</w:t>
            </w:r>
            <w:r w:rsidRPr="00DF4956">
              <w:rPr>
                <w:rFonts w:cs="Arial"/>
                <w:color w:val="000000"/>
                <w:szCs w:val="24"/>
              </w:rPr>
              <w:t xml:space="preserve"> updates or revisions at other times </w:t>
            </w:r>
          </w:p>
        </w:tc>
        <w:tc>
          <w:tcPr>
            <w:tcW w:w="2391" w:type="dxa"/>
          </w:tcPr>
          <w:p w14:paraId="5400983B" w14:textId="569C5BF2" w:rsidR="00750A26" w:rsidRPr="00DF4956" w:rsidRDefault="00750A26" w:rsidP="00EE76B8">
            <w:pPr>
              <w:numPr>
                <w:ilvl w:val="12"/>
                <w:numId w:val="0"/>
              </w:numPr>
              <w:rPr>
                <w:rFonts w:cs="Arial"/>
                <w:color w:val="000000"/>
                <w:szCs w:val="24"/>
              </w:rPr>
            </w:pPr>
            <w:r w:rsidRPr="00DF4956">
              <w:rPr>
                <w:rFonts w:cs="Arial"/>
                <w:color w:val="000000"/>
                <w:szCs w:val="24"/>
              </w:rPr>
              <w:t>Police and Crime Commissioner</w:t>
            </w:r>
          </w:p>
          <w:p w14:paraId="35DCF9E8" w14:textId="77777777" w:rsidR="00750A26" w:rsidRPr="00DF4956" w:rsidRDefault="00750A26" w:rsidP="00EE76B8">
            <w:pPr>
              <w:numPr>
                <w:ilvl w:val="12"/>
                <w:numId w:val="0"/>
              </w:numPr>
              <w:rPr>
                <w:rFonts w:cs="Arial"/>
                <w:color w:val="000000"/>
                <w:szCs w:val="24"/>
              </w:rPr>
            </w:pPr>
          </w:p>
        </w:tc>
        <w:tc>
          <w:tcPr>
            <w:tcW w:w="3187" w:type="dxa"/>
          </w:tcPr>
          <w:p w14:paraId="796C1763" w14:textId="77777777" w:rsidR="00750A26" w:rsidRPr="00DF4956" w:rsidRDefault="00750A26" w:rsidP="00EE76B8">
            <w:pPr>
              <w:numPr>
                <w:ilvl w:val="12"/>
                <w:numId w:val="0"/>
              </w:numPr>
              <w:rPr>
                <w:rFonts w:cs="Arial"/>
                <w:color w:val="000000"/>
                <w:szCs w:val="24"/>
              </w:rPr>
            </w:pPr>
            <w:r w:rsidRPr="00DF4956">
              <w:rPr>
                <w:rFonts w:cs="Arial"/>
                <w:color w:val="000000"/>
                <w:szCs w:val="24"/>
              </w:rPr>
              <w:t>As required</w:t>
            </w:r>
          </w:p>
        </w:tc>
      </w:tr>
      <w:tr w:rsidR="00750A26" w:rsidRPr="00DF4956" w14:paraId="2497A293" w14:textId="77777777" w:rsidTr="00EE76B8">
        <w:trPr>
          <w:trHeight w:val="711"/>
        </w:trPr>
        <w:tc>
          <w:tcPr>
            <w:tcW w:w="3665" w:type="dxa"/>
            <w:shd w:val="clear" w:color="auto" w:fill="auto"/>
          </w:tcPr>
          <w:p w14:paraId="629C070E" w14:textId="77777777" w:rsidR="00750A26" w:rsidRPr="00DF4956" w:rsidRDefault="00750A26" w:rsidP="00EE76B8">
            <w:pPr>
              <w:numPr>
                <w:ilvl w:val="12"/>
                <w:numId w:val="0"/>
              </w:numPr>
              <w:rPr>
                <w:rFonts w:cs="Arial"/>
                <w:color w:val="000000"/>
                <w:szCs w:val="24"/>
              </w:rPr>
            </w:pPr>
            <w:r w:rsidRPr="00DF4956">
              <w:rPr>
                <w:rFonts w:cs="Arial"/>
                <w:color w:val="000000"/>
                <w:szCs w:val="24"/>
              </w:rPr>
              <w:t>Annual Treasury Management Outturn Report</w:t>
            </w:r>
          </w:p>
        </w:tc>
        <w:tc>
          <w:tcPr>
            <w:tcW w:w="2391" w:type="dxa"/>
          </w:tcPr>
          <w:p w14:paraId="16C78EA3" w14:textId="77777777" w:rsidR="00750A26" w:rsidRPr="00DF4956" w:rsidRDefault="00750A26" w:rsidP="00EE76B8">
            <w:pPr>
              <w:numPr>
                <w:ilvl w:val="12"/>
                <w:numId w:val="0"/>
              </w:numPr>
              <w:rPr>
                <w:rFonts w:cs="Arial"/>
                <w:color w:val="000000"/>
                <w:szCs w:val="24"/>
              </w:rPr>
            </w:pPr>
            <w:r w:rsidRPr="00DF4956">
              <w:rPr>
                <w:rFonts w:cs="Arial"/>
                <w:color w:val="000000"/>
                <w:szCs w:val="24"/>
              </w:rPr>
              <w:t xml:space="preserve">Police and Crime Commissioner </w:t>
            </w:r>
          </w:p>
        </w:tc>
        <w:tc>
          <w:tcPr>
            <w:tcW w:w="3187" w:type="dxa"/>
          </w:tcPr>
          <w:p w14:paraId="00B7C1EF" w14:textId="77777777" w:rsidR="00750A26" w:rsidRPr="00DF4956" w:rsidRDefault="00750A26" w:rsidP="00EE76B8">
            <w:pPr>
              <w:numPr>
                <w:ilvl w:val="12"/>
                <w:numId w:val="0"/>
              </w:numPr>
              <w:rPr>
                <w:rFonts w:cs="Arial"/>
                <w:color w:val="000000"/>
                <w:szCs w:val="24"/>
              </w:rPr>
            </w:pPr>
            <w:r w:rsidRPr="00DF4956">
              <w:rPr>
                <w:rFonts w:cs="Arial"/>
                <w:color w:val="000000"/>
                <w:szCs w:val="24"/>
              </w:rPr>
              <w:t xml:space="preserve">Annually by 30 September </w:t>
            </w:r>
          </w:p>
        </w:tc>
      </w:tr>
      <w:tr w:rsidR="00750A26" w:rsidRPr="00DF4956" w14:paraId="1A0A551E" w14:textId="77777777" w:rsidTr="00EE76B8">
        <w:trPr>
          <w:trHeight w:val="699"/>
        </w:trPr>
        <w:tc>
          <w:tcPr>
            <w:tcW w:w="3665" w:type="dxa"/>
            <w:shd w:val="clear" w:color="auto" w:fill="auto"/>
          </w:tcPr>
          <w:p w14:paraId="6844B672" w14:textId="77777777" w:rsidR="00750A26" w:rsidRPr="00DF4956" w:rsidRDefault="00750A26" w:rsidP="00EE76B8">
            <w:pPr>
              <w:numPr>
                <w:ilvl w:val="12"/>
                <w:numId w:val="0"/>
              </w:numPr>
              <w:rPr>
                <w:rFonts w:cs="Arial"/>
                <w:color w:val="000000"/>
                <w:szCs w:val="24"/>
              </w:rPr>
            </w:pPr>
            <w:r w:rsidRPr="00DF4956">
              <w:rPr>
                <w:rFonts w:cs="Arial"/>
                <w:color w:val="000000"/>
                <w:szCs w:val="24"/>
              </w:rPr>
              <w:t>Treasury Management Monitoring Reports</w:t>
            </w:r>
          </w:p>
        </w:tc>
        <w:tc>
          <w:tcPr>
            <w:tcW w:w="2391" w:type="dxa"/>
          </w:tcPr>
          <w:p w14:paraId="2F181EFA" w14:textId="77777777" w:rsidR="00750A26" w:rsidRPr="00DF4956" w:rsidRDefault="00750A26" w:rsidP="00EE76B8">
            <w:pPr>
              <w:numPr>
                <w:ilvl w:val="12"/>
                <w:numId w:val="0"/>
              </w:numPr>
              <w:rPr>
                <w:rFonts w:cs="Arial"/>
                <w:color w:val="000000"/>
                <w:szCs w:val="24"/>
              </w:rPr>
            </w:pPr>
            <w:r w:rsidRPr="00DF4956">
              <w:rPr>
                <w:rFonts w:cs="Arial"/>
                <w:color w:val="000000"/>
                <w:szCs w:val="24"/>
              </w:rPr>
              <w:t>Chief Finance Officer</w:t>
            </w:r>
          </w:p>
        </w:tc>
        <w:tc>
          <w:tcPr>
            <w:tcW w:w="3187" w:type="dxa"/>
          </w:tcPr>
          <w:p w14:paraId="4B6919A9" w14:textId="77777777" w:rsidR="00750A26" w:rsidRPr="00DF4956" w:rsidRDefault="00750A26" w:rsidP="00EE76B8">
            <w:pPr>
              <w:numPr>
                <w:ilvl w:val="12"/>
                <w:numId w:val="0"/>
              </w:numPr>
              <w:rPr>
                <w:rFonts w:cs="Arial"/>
                <w:color w:val="000000"/>
                <w:szCs w:val="24"/>
              </w:rPr>
            </w:pPr>
            <w:r w:rsidRPr="00DF4956">
              <w:rPr>
                <w:rFonts w:cs="Arial"/>
                <w:color w:val="000000"/>
                <w:szCs w:val="24"/>
              </w:rPr>
              <w:t xml:space="preserve">Quarterly </w:t>
            </w:r>
          </w:p>
        </w:tc>
      </w:tr>
      <w:tr w:rsidR="00750A26" w:rsidRPr="00DF4956" w14:paraId="0F2E86AC" w14:textId="77777777" w:rsidTr="00EE76B8">
        <w:trPr>
          <w:trHeight w:val="591"/>
        </w:trPr>
        <w:tc>
          <w:tcPr>
            <w:tcW w:w="3665" w:type="dxa"/>
            <w:shd w:val="clear" w:color="auto" w:fill="auto"/>
          </w:tcPr>
          <w:p w14:paraId="197028E2" w14:textId="77777777" w:rsidR="00750A26" w:rsidRPr="00DF4956" w:rsidRDefault="00750A26" w:rsidP="00EE76B8">
            <w:pPr>
              <w:numPr>
                <w:ilvl w:val="12"/>
                <w:numId w:val="0"/>
              </w:numPr>
              <w:rPr>
                <w:rFonts w:cs="Arial"/>
                <w:color w:val="000000"/>
                <w:szCs w:val="24"/>
              </w:rPr>
            </w:pPr>
            <w:r w:rsidRPr="00DF4956">
              <w:rPr>
                <w:rFonts w:cs="Arial"/>
                <w:color w:val="000000"/>
                <w:szCs w:val="24"/>
              </w:rPr>
              <w:t>Treasury Management Practices</w:t>
            </w:r>
          </w:p>
        </w:tc>
        <w:tc>
          <w:tcPr>
            <w:tcW w:w="2391" w:type="dxa"/>
          </w:tcPr>
          <w:p w14:paraId="7EDD166D" w14:textId="77777777" w:rsidR="00750A26" w:rsidRPr="00DF4956" w:rsidRDefault="00750A26" w:rsidP="00EE76B8">
            <w:pPr>
              <w:numPr>
                <w:ilvl w:val="12"/>
                <w:numId w:val="0"/>
              </w:numPr>
              <w:rPr>
                <w:rFonts w:cs="Arial"/>
                <w:color w:val="000000"/>
                <w:szCs w:val="24"/>
              </w:rPr>
            </w:pPr>
            <w:r w:rsidRPr="00DF4956">
              <w:rPr>
                <w:rFonts w:cs="Arial"/>
                <w:color w:val="000000"/>
                <w:szCs w:val="24"/>
              </w:rPr>
              <w:t>Chief Finance Officer</w:t>
            </w:r>
          </w:p>
        </w:tc>
        <w:tc>
          <w:tcPr>
            <w:tcW w:w="3187" w:type="dxa"/>
          </w:tcPr>
          <w:p w14:paraId="02B259E0" w14:textId="77777777" w:rsidR="00750A26" w:rsidRPr="00DF4956" w:rsidRDefault="00750A26" w:rsidP="00EE76B8">
            <w:pPr>
              <w:numPr>
                <w:ilvl w:val="12"/>
                <w:numId w:val="0"/>
              </w:numPr>
              <w:rPr>
                <w:rFonts w:cs="Arial"/>
                <w:color w:val="000000"/>
                <w:szCs w:val="24"/>
              </w:rPr>
            </w:pPr>
            <w:r w:rsidRPr="00DF4956">
              <w:rPr>
                <w:rFonts w:cs="Arial"/>
                <w:color w:val="000000"/>
                <w:szCs w:val="24"/>
              </w:rPr>
              <w:t>Annually</w:t>
            </w:r>
          </w:p>
        </w:tc>
      </w:tr>
    </w:tbl>
    <w:p w14:paraId="06F132FB" w14:textId="77777777" w:rsidR="00750A26" w:rsidRPr="00196349" w:rsidRDefault="00750A26" w:rsidP="00196349">
      <w:pPr>
        <w:pStyle w:val="BodyText"/>
        <w:jc w:val="both"/>
        <w:rPr>
          <w:rFonts w:cs="Arial"/>
          <w:color w:val="000000"/>
          <w:szCs w:val="24"/>
          <w:highlight w:val="cyan"/>
        </w:rPr>
      </w:pPr>
    </w:p>
    <w:p w14:paraId="4818D13F" w14:textId="77777777" w:rsidR="00E2480E" w:rsidRPr="00105E93" w:rsidRDefault="00E2480E" w:rsidP="00105E93">
      <w:pPr>
        <w:rPr>
          <w:rFonts w:cs="Arial"/>
          <w:b/>
          <w:color w:val="000000"/>
          <w:szCs w:val="24"/>
        </w:rPr>
      </w:pPr>
    </w:p>
    <w:p w14:paraId="7B203DB7" w14:textId="77777777" w:rsidR="00E2480E" w:rsidRPr="00E2480E" w:rsidRDefault="00E2480E" w:rsidP="00E2480E">
      <w:pPr>
        <w:pStyle w:val="BodyText"/>
        <w:ind w:left="720"/>
        <w:jc w:val="both"/>
        <w:rPr>
          <w:rFonts w:cs="Arial"/>
          <w:b/>
          <w:color w:val="000000"/>
          <w:szCs w:val="24"/>
        </w:rPr>
      </w:pPr>
    </w:p>
    <w:p w14:paraId="770BB750" w14:textId="303B63BD" w:rsidR="00115EE2" w:rsidRPr="0007216A" w:rsidRDefault="00115EE2" w:rsidP="00115EE2">
      <w:pPr>
        <w:pStyle w:val="BodyText"/>
        <w:jc w:val="both"/>
        <w:rPr>
          <w:rFonts w:cs="Arial"/>
          <w:color w:val="000000"/>
          <w:szCs w:val="24"/>
        </w:rPr>
      </w:pPr>
      <w:r w:rsidRPr="00293740">
        <w:rPr>
          <w:rFonts w:cs="Arial"/>
          <w:b/>
          <w:color w:val="000000"/>
          <w:szCs w:val="24"/>
        </w:rPr>
        <w:t xml:space="preserve">Treasury Management Strategy for </w:t>
      </w:r>
      <w:r w:rsidR="004C1826">
        <w:rPr>
          <w:rFonts w:cs="Arial"/>
          <w:b/>
          <w:color w:val="000000"/>
          <w:szCs w:val="24"/>
        </w:rPr>
        <w:t>2021</w:t>
      </w:r>
      <w:r w:rsidR="008C2EA3">
        <w:rPr>
          <w:rFonts w:cs="Arial"/>
          <w:b/>
          <w:color w:val="000000"/>
          <w:szCs w:val="24"/>
        </w:rPr>
        <w:t>/2</w:t>
      </w:r>
      <w:r w:rsidR="004C1826">
        <w:rPr>
          <w:rFonts w:cs="Arial"/>
          <w:b/>
          <w:color w:val="000000"/>
          <w:szCs w:val="24"/>
        </w:rPr>
        <w:t>2</w:t>
      </w:r>
    </w:p>
    <w:p w14:paraId="4F1DC500" w14:textId="77777777" w:rsidR="00A03FCC" w:rsidRDefault="00A03FCC" w:rsidP="00115EE2">
      <w:pPr>
        <w:jc w:val="both"/>
        <w:rPr>
          <w:rFonts w:cs="Arial"/>
          <w:color w:val="000000"/>
          <w:szCs w:val="24"/>
        </w:rPr>
      </w:pPr>
    </w:p>
    <w:p w14:paraId="441B6CDD" w14:textId="47804421" w:rsidR="00115EE2" w:rsidRPr="00DF4956" w:rsidRDefault="00115EE2" w:rsidP="00115EE2">
      <w:pPr>
        <w:jc w:val="both"/>
        <w:rPr>
          <w:rFonts w:cs="Arial"/>
          <w:color w:val="000000"/>
          <w:szCs w:val="24"/>
        </w:rPr>
      </w:pPr>
      <w:r w:rsidRPr="00DF4956">
        <w:rPr>
          <w:rFonts w:cs="Arial"/>
          <w:color w:val="000000"/>
          <w:szCs w:val="24"/>
        </w:rPr>
        <w:t xml:space="preserve">In setting the Treasury Management Strategy, the following factors have been </w:t>
      </w:r>
      <w:proofErr w:type="gramStart"/>
      <w:r w:rsidRPr="00DF4956">
        <w:rPr>
          <w:rFonts w:cs="Arial"/>
          <w:color w:val="000000"/>
          <w:szCs w:val="24"/>
        </w:rPr>
        <w:t>taken into account</w:t>
      </w:r>
      <w:proofErr w:type="gramEnd"/>
      <w:r w:rsidRPr="00DF4956">
        <w:rPr>
          <w:rFonts w:cs="Arial"/>
          <w:color w:val="000000"/>
          <w:szCs w:val="24"/>
        </w:rPr>
        <w:t>; economic forecasts, the level of the approved Capital Programme and the current structure of the Commissioner’s debt portfolio. It covers the following aspects of the Treasury Management function:</w:t>
      </w:r>
    </w:p>
    <w:p w14:paraId="6B2C2848" w14:textId="77777777" w:rsidR="00115EE2" w:rsidRPr="00DF4956" w:rsidRDefault="00115EE2" w:rsidP="00115EE2">
      <w:pPr>
        <w:pStyle w:val="BodyText"/>
        <w:jc w:val="both"/>
        <w:rPr>
          <w:rFonts w:cs="Arial"/>
          <w:color w:val="000000"/>
          <w:szCs w:val="24"/>
        </w:rPr>
      </w:pPr>
    </w:p>
    <w:p w14:paraId="181255BC" w14:textId="77777777" w:rsidR="00115EE2" w:rsidRDefault="00115EE2" w:rsidP="00115EE2">
      <w:pPr>
        <w:pStyle w:val="BodyText"/>
        <w:numPr>
          <w:ilvl w:val="0"/>
          <w:numId w:val="24"/>
        </w:numPr>
        <w:jc w:val="both"/>
        <w:rPr>
          <w:rFonts w:cs="Arial"/>
          <w:color w:val="000000"/>
          <w:szCs w:val="24"/>
        </w:rPr>
      </w:pPr>
      <w:r w:rsidRPr="00DF4956">
        <w:rPr>
          <w:rFonts w:cs="Arial"/>
          <w:color w:val="000000"/>
          <w:szCs w:val="24"/>
        </w:rPr>
        <w:t>Prudential Indicators which will provide a controlling framework for treasury management activities.</w:t>
      </w:r>
    </w:p>
    <w:p w14:paraId="126FBF47" w14:textId="77777777" w:rsidR="00AB7E96" w:rsidRPr="00DF4956" w:rsidRDefault="00AB7E96" w:rsidP="00AB7E96">
      <w:pPr>
        <w:pStyle w:val="BodyText"/>
        <w:ind w:left="720"/>
        <w:jc w:val="both"/>
        <w:rPr>
          <w:rFonts w:cs="Arial"/>
          <w:color w:val="000000"/>
          <w:szCs w:val="24"/>
        </w:rPr>
      </w:pPr>
    </w:p>
    <w:p w14:paraId="6409C030" w14:textId="77777777" w:rsidR="00AB7E96" w:rsidRPr="00B35C19" w:rsidRDefault="00115EE2" w:rsidP="002B6292">
      <w:pPr>
        <w:pStyle w:val="BodyText"/>
        <w:numPr>
          <w:ilvl w:val="0"/>
          <w:numId w:val="24"/>
        </w:numPr>
        <w:jc w:val="both"/>
        <w:rPr>
          <w:rFonts w:cs="Arial"/>
          <w:color w:val="000000"/>
          <w:szCs w:val="24"/>
        </w:rPr>
      </w:pPr>
      <w:r w:rsidRPr="00B35C19">
        <w:rPr>
          <w:rFonts w:cs="Arial"/>
          <w:color w:val="000000"/>
          <w:szCs w:val="24"/>
        </w:rPr>
        <w:t xml:space="preserve">Long-term debt </w:t>
      </w:r>
      <w:proofErr w:type="gramStart"/>
      <w:r w:rsidRPr="00B35C19">
        <w:rPr>
          <w:rFonts w:cs="Arial"/>
          <w:color w:val="000000"/>
          <w:szCs w:val="24"/>
        </w:rPr>
        <w:t>outstanding;</w:t>
      </w:r>
      <w:proofErr w:type="gramEnd"/>
    </w:p>
    <w:p w14:paraId="651ED085" w14:textId="77777777" w:rsidR="00AB7E96" w:rsidRPr="00DF4956" w:rsidRDefault="00AB7E96" w:rsidP="00AB7E96">
      <w:pPr>
        <w:pStyle w:val="BodyText"/>
        <w:ind w:left="720"/>
        <w:jc w:val="both"/>
        <w:rPr>
          <w:rFonts w:cs="Arial"/>
          <w:color w:val="000000"/>
          <w:szCs w:val="24"/>
        </w:rPr>
      </w:pPr>
    </w:p>
    <w:p w14:paraId="6A326B69" w14:textId="77777777" w:rsidR="00115EE2" w:rsidRDefault="00115EE2" w:rsidP="00115EE2">
      <w:pPr>
        <w:pStyle w:val="BodyText"/>
        <w:numPr>
          <w:ilvl w:val="0"/>
          <w:numId w:val="24"/>
        </w:numPr>
        <w:jc w:val="both"/>
        <w:rPr>
          <w:rFonts w:cs="Arial"/>
          <w:color w:val="000000"/>
          <w:szCs w:val="24"/>
        </w:rPr>
      </w:pPr>
      <w:r w:rsidRPr="00DF4956">
        <w:rPr>
          <w:rFonts w:cs="Arial"/>
          <w:color w:val="000000"/>
          <w:szCs w:val="24"/>
        </w:rPr>
        <w:t xml:space="preserve">Prospects for interest </w:t>
      </w:r>
      <w:proofErr w:type="gramStart"/>
      <w:r w:rsidRPr="00DF4956">
        <w:rPr>
          <w:rFonts w:cs="Arial"/>
          <w:color w:val="000000"/>
          <w:szCs w:val="24"/>
        </w:rPr>
        <w:t>rates;</w:t>
      </w:r>
      <w:proofErr w:type="gramEnd"/>
    </w:p>
    <w:p w14:paraId="2B4F86F8" w14:textId="77777777" w:rsidR="00B35C19" w:rsidRDefault="00B35C19" w:rsidP="002B6292">
      <w:pPr>
        <w:pStyle w:val="BodyText"/>
        <w:ind w:left="360"/>
        <w:jc w:val="both"/>
        <w:rPr>
          <w:rFonts w:cs="Arial"/>
          <w:color w:val="000000"/>
          <w:szCs w:val="24"/>
        </w:rPr>
      </w:pPr>
    </w:p>
    <w:p w14:paraId="24F99A2F" w14:textId="77777777" w:rsidR="00AB7E96" w:rsidRPr="00B35C19" w:rsidRDefault="00115EE2" w:rsidP="002B6292">
      <w:pPr>
        <w:pStyle w:val="BodyText"/>
        <w:numPr>
          <w:ilvl w:val="0"/>
          <w:numId w:val="24"/>
        </w:numPr>
        <w:jc w:val="both"/>
        <w:rPr>
          <w:rFonts w:cs="Arial"/>
          <w:color w:val="000000"/>
          <w:szCs w:val="24"/>
        </w:rPr>
      </w:pPr>
      <w:r w:rsidRPr="00B35C19">
        <w:rPr>
          <w:rFonts w:cs="Arial"/>
          <w:color w:val="000000"/>
          <w:szCs w:val="24"/>
        </w:rPr>
        <w:t xml:space="preserve">The Borrowing </w:t>
      </w:r>
      <w:proofErr w:type="gramStart"/>
      <w:r w:rsidRPr="00B35C19">
        <w:rPr>
          <w:rFonts w:cs="Arial"/>
          <w:color w:val="000000"/>
          <w:szCs w:val="24"/>
        </w:rPr>
        <w:t>Strategy;</w:t>
      </w:r>
      <w:proofErr w:type="gramEnd"/>
    </w:p>
    <w:p w14:paraId="169CB87F" w14:textId="77777777" w:rsidR="00AB7E96" w:rsidRPr="00DF4956" w:rsidRDefault="00AB7E96" w:rsidP="00AB7E96">
      <w:pPr>
        <w:pStyle w:val="BodyText"/>
        <w:ind w:left="720"/>
        <w:jc w:val="both"/>
        <w:rPr>
          <w:rFonts w:cs="Arial"/>
          <w:color w:val="000000"/>
          <w:szCs w:val="24"/>
        </w:rPr>
      </w:pPr>
    </w:p>
    <w:p w14:paraId="155E9530" w14:textId="77777777" w:rsidR="00115EE2" w:rsidRDefault="00115EE2" w:rsidP="00115EE2">
      <w:pPr>
        <w:pStyle w:val="BodyText"/>
        <w:numPr>
          <w:ilvl w:val="0"/>
          <w:numId w:val="24"/>
        </w:numPr>
        <w:jc w:val="both"/>
        <w:rPr>
          <w:rFonts w:cs="Arial"/>
          <w:color w:val="000000"/>
          <w:szCs w:val="24"/>
        </w:rPr>
      </w:pPr>
      <w:r w:rsidRPr="00DF4956">
        <w:rPr>
          <w:rFonts w:cs="Arial"/>
          <w:color w:val="000000"/>
          <w:szCs w:val="24"/>
        </w:rPr>
        <w:t xml:space="preserve">The Investment </w:t>
      </w:r>
      <w:proofErr w:type="gramStart"/>
      <w:r w:rsidRPr="00DF4956">
        <w:rPr>
          <w:rFonts w:cs="Arial"/>
          <w:color w:val="000000"/>
          <w:szCs w:val="24"/>
        </w:rPr>
        <w:t>Strategy;</w:t>
      </w:r>
      <w:proofErr w:type="gramEnd"/>
    </w:p>
    <w:p w14:paraId="688E1CFD" w14:textId="77777777" w:rsidR="00AB7E96" w:rsidRPr="00DF4956" w:rsidRDefault="00AB7E96" w:rsidP="00AB7E96">
      <w:pPr>
        <w:pStyle w:val="BodyText"/>
        <w:ind w:left="720"/>
        <w:jc w:val="both"/>
        <w:rPr>
          <w:rFonts w:cs="Arial"/>
          <w:color w:val="000000"/>
          <w:szCs w:val="24"/>
        </w:rPr>
      </w:pPr>
    </w:p>
    <w:p w14:paraId="5EF97DEF" w14:textId="5CAD2A78" w:rsidR="001244FD" w:rsidRDefault="00115EE2" w:rsidP="00EE7172">
      <w:pPr>
        <w:pStyle w:val="BodyText"/>
        <w:numPr>
          <w:ilvl w:val="0"/>
          <w:numId w:val="24"/>
        </w:numPr>
        <w:jc w:val="both"/>
        <w:rPr>
          <w:rFonts w:cs="Arial"/>
          <w:color w:val="000000"/>
          <w:szCs w:val="24"/>
        </w:rPr>
      </w:pPr>
      <w:r w:rsidRPr="001244FD">
        <w:rPr>
          <w:rFonts w:cs="Arial"/>
          <w:color w:val="000000"/>
          <w:szCs w:val="24"/>
        </w:rPr>
        <w:t>Policy on borrowing in advance of need.</w:t>
      </w:r>
    </w:p>
    <w:p w14:paraId="5A0BD2F9" w14:textId="77777777" w:rsidR="00EE7172" w:rsidRPr="001244FD" w:rsidRDefault="00EE7172">
      <w:pPr>
        <w:pStyle w:val="BodyText"/>
        <w:ind w:left="720"/>
        <w:jc w:val="both"/>
        <w:rPr>
          <w:rFonts w:cs="Arial"/>
          <w:color w:val="000000"/>
          <w:szCs w:val="24"/>
        </w:rPr>
      </w:pPr>
    </w:p>
    <w:p w14:paraId="3C6B6663" w14:textId="77777777" w:rsidR="008E5A63" w:rsidRPr="00A71447" w:rsidRDefault="001842C6" w:rsidP="00105E93">
      <w:pPr>
        <w:pStyle w:val="BodyText"/>
        <w:rPr>
          <w:b/>
        </w:rPr>
      </w:pPr>
      <w:r w:rsidRPr="00A71447">
        <w:rPr>
          <w:rFonts w:cs="Arial"/>
          <w:b/>
        </w:rPr>
        <w:t xml:space="preserve">Economic Context </w:t>
      </w:r>
      <w:r w:rsidR="0028220B" w:rsidRPr="00A71447">
        <w:rPr>
          <w:b/>
        </w:rPr>
        <w:t xml:space="preserve">  </w:t>
      </w:r>
    </w:p>
    <w:p w14:paraId="7F43C5D1" w14:textId="77777777" w:rsidR="00F440D7" w:rsidRPr="00DC4EA5" w:rsidRDefault="00F440D7" w:rsidP="00F440D7">
      <w:pPr>
        <w:jc w:val="both"/>
        <w:rPr>
          <w:rFonts w:cs="Arial"/>
          <w:szCs w:val="24"/>
        </w:rPr>
      </w:pPr>
    </w:p>
    <w:p w14:paraId="6608EBAB" w14:textId="77777777" w:rsidR="00B8149C" w:rsidRPr="00DC4EA5" w:rsidRDefault="00B8149C" w:rsidP="00B8149C">
      <w:pPr>
        <w:pStyle w:val="BodyText"/>
        <w:jc w:val="both"/>
        <w:rPr>
          <w:rFonts w:cs="Arial"/>
          <w:szCs w:val="24"/>
          <w:u w:val="single"/>
        </w:rPr>
      </w:pPr>
      <w:r w:rsidRPr="00DC4EA5">
        <w:rPr>
          <w:rFonts w:cs="Arial"/>
          <w:szCs w:val="24"/>
          <w:u w:val="single"/>
        </w:rPr>
        <w:t xml:space="preserve">Economic Forecast </w:t>
      </w:r>
    </w:p>
    <w:p w14:paraId="7F45EBFD" w14:textId="77777777" w:rsidR="003014F1" w:rsidRPr="0052569D" w:rsidRDefault="003014F1" w:rsidP="00B8149C">
      <w:pPr>
        <w:pStyle w:val="BodyText"/>
        <w:jc w:val="both"/>
        <w:rPr>
          <w:rFonts w:cs="Arial"/>
          <w:sz w:val="22"/>
          <w:szCs w:val="22"/>
          <w:highlight w:val="yellow"/>
        </w:rPr>
      </w:pPr>
    </w:p>
    <w:p w14:paraId="387B4631" w14:textId="77777777" w:rsidR="000C4B81" w:rsidRPr="0052569D" w:rsidRDefault="000C4B81" w:rsidP="000C4B81">
      <w:pPr>
        <w:pStyle w:val="BodyText"/>
        <w:jc w:val="both"/>
        <w:rPr>
          <w:rFonts w:cs="Arial"/>
          <w:sz w:val="22"/>
          <w:szCs w:val="22"/>
          <w:highlight w:val="yellow"/>
        </w:rPr>
      </w:pPr>
    </w:p>
    <w:p w14:paraId="2D747236" w14:textId="77777777" w:rsidR="00DC4EA5" w:rsidRDefault="00DC4EA5" w:rsidP="00DC4EA5">
      <w:pPr>
        <w:pStyle w:val="BodyText"/>
        <w:rPr>
          <w:rFonts w:cs="Arial"/>
          <w:szCs w:val="24"/>
        </w:rPr>
      </w:pPr>
      <w:r w:rsidRPr="003754F7">
        <w:rPr>
          <w:rFonts w:cs="Arial"/>
          <w:szCs w:val="24"/>
        </w:rPr>
        <w:lastRenderedPageBreak/>
        <w:t>The impact on the UK from coronavirus, lockdown measures, the rollout of vaccines, as well as the new trading arrangements with the European Union (EU), will remain major influences on the Authority’s treasury management strategy for 2021/22.</w:t>
      </w:r>
    </w:p>
    <w:p w14:paraId="674E58FB" w14:textId="77777777" w:rsidR="00DC4EA5" w:rsidRPr="003754F7" w:rsidRDefault="00DC4EA5" w:rsidP="00DC4EA5">
      <w:pPr>
        <w:pStyle w:val="BodyText"/>
        <w:rPr>
          <w:rFonts w:cs="Arial"/>
          <w:szCs w:val="24"/>
        </w:rPr>
      </w:pPr>
    </w:p>
    <w:p w14:paraId="43B88D72" w14:textId="77777777" w:rsidR="00DC4EA5" w:rsidRDefault="00DC4EA5" w:rsidP="00DC4EA5">
      <w:pPr>
        <w:pStyle w:val="BodyText"/>
        <w:rPr>
          <w:rFonts w:cs="Arial"/>
          <w:szCs w:val="24"/>
        </w:rPr>
      </w:pPr>
      <w:r w:rsidRPr="003754F7">
        <w:rPr>
          <w:rFonts w:cs="Arial"/>
          <w:szCs w:val="24"/>
        </w:rPr>
        <w:t>The Bank of England (BoE) maintained Bank Rate at 0.10% in December 2020 and Quantitative Easing programme at £895 billion having extended it by £150 billion in the previous month. The Monetary Policy Committee (MPC) voted unanimously for both, but no mention was made of the potential future use of negative interest rates. In the November Monetary Policy Report (MPR) forecasts, the Bank expects the UK economy to shrink -2% in Q4 2020 before growing by 7.25% in 2021, lower than the previous forecast of 9%. The BoE also forecasts the economy will now take until Q1 2022 to reach its pre-pandemic level rather than the end of 2021 as previously forecast. By the time of the December MPC announcement, a COVID-19 vaccine was approved for use, which the Bank noted would reduce some of the downside risks to the economic outlook outlined in the November MPR.</w:t>
      </w:r>
    </w:p>
    <w:p w14:paraId="1A171659" w14:textId="77777777" w:rsidR="00DC4EA5" w:rsidRPr="003754F7" w:rsidRDefault="00DC4EA5" w:rsidP="00DC4EA5">
      <w:pPr>
        <w:pStyle w:val="BodyText"/>
        <w:rPr>
          <w:rFonts w:cs="Arial"/>
          <w:szCs w:val="24"/>
        </w:rPr>
      </w:pPr>
    </w:p>
    <w:p w14:paraId="02C11633" w14:textId="77777777" w:rsidR="00DC4EA5" w:rsidRDefault="00DC4EA5" w:rsidP="00DC4EA5">
      <w:pPr>
        <w:pStyle w:val="BodyText"/>
        <w:rPr>
          <w:rFonts w:cs="Arial"/>
          <w:szCs w:val="24"/>
        </w:rPr>
      </w:pPr>
      <w:r w:rsidRPr="003754F7">
        <w:rPr>
          <w:rFonts w:cs="Arial"/>
          <w:szCs w:val="24"/>
        </w:rPr>
        <w:t>UK Consumer Price Inflation (CPI) for November 2020 registered 0.3% year on year, down from 0.7% in the previous month. Core inflation, which excludes the more volatile components, fell to 1.1% from 1.5%. The labour market data for the three months to October 2020 showed the unemployment rate rose to 4.9% while the employment rate fell to 75.2%. Both measures are expected to deteriorate further due to the ongoing impact of coronavirus on the jobs market, particularly when the various government job retention schemes start to be unwound in 2021, with the BoE forecasting unemployment will peak at 7.75% in Q2 2021. In October, the headline 3-month average annual growth rate for wages were 2.7% for total pay and 2.8% for regular pay. In real terms, after adjusting for inflation, total pay growth was up by 1.9% while regular pay was up 2.1%.</w:t>
      </w:r>
    </w:p>
    <w:p w14:paraId="447D490A" w14:textId="77777777" w:rsidR="00DC4EA5" w:rsidRPr="003754F7" w:rsidRDefault="00DC4EA5" w:rsidP="00DC4EA5">
      <w:pPr>
        <w:pStyle w:val="BodyText"/>
        <w:rPr>
          <w:rFonts w:cs="Arial"/>
          <w:szCs w:val="24"/>
        </w:rPr>
      </w:pPr>
    </w:p>
    <w:p w14:paraId="1567EC6A" w14:textId="77777777" w:rsidR="00DC4EA5" w:rsidRDefault="00DC4EA5" w:rsidP="00DC4EA5">
      <w:pPr>
        <w:pStyle w:val="BodyText"/>
        <w:rPr>
          <w:rFonts w:cs="Arial"/>
          <w:szCs w:val="24"/>
        </w:rPr>
      </w:pPr>
      <w:r w:rsidRPr="003754F7">
        <w:rPr>
          <w:rFonts w:cs="Arial"/>
          <w:szCs w:val="24"/>
        </w:rPr>
        <w:t xml:space="preserve">GDP growth rebounded by 16.0% in Q3 2020 having fallen by -18.8% in the second quarter, with the annual rate rising to -8.6% from -20.8%. All sectors rose quarter-on-quarter, with dramatic gains in construction (41.2%), followed by services and production (both 14.7%). Monthly GDP estimates have shown the economic recovery slowing and remains well below its pre-pandemic peak. </w:t>
      </w:r>
      <w:proofErr w:type="gramStart"/>
      <w:r w:rsidRPr="003754F7">
        <w:rPr>
          <w:rFonts w:cs="Arial"/>
          <w:szCs w:val="24"/>
        </w:rPr>
        <w:t>Looking ahead, the BoE’s November MPR forecasts economic growth</w:t>
      </w:r>
      <w:proofErr w:type="gramEnd"/>
      <w:r w:rsidRPr="003754F7">
        <w:rPr>
          <w:rFonts w:cs="Arial"/>
          <w:szCs w:val="24"/>
        </w:rPr>
        <w:t xml:space="preserve"> will rise in 2021 with GDP reaching 11% in Q4 2021, 3.1% in Q4 2022 and 1.6% in Q4 2023.</w:t>
      </w:r>
    </w:p>
    <w:p w14:paraId="4EE55894" w14:textId="77777777" w:rsidR="00DC4EA5" w:rsidRPr="003754F7" w:rsidRDefault="00DC4EA5" w:rsidP="00DC4EA5">
      <w:pPr>
        <w:pStyle w:val="BodyText"/>
        <w:rPr>
          <w:rFonts w:cs="Arial"/>
          <w:szCs w:val="24"/>
        </w:rPr>
      </w:pPr>
    </w:p>
    <w:p w14:paraId="4F83F6D6" w14:textId="77777777" w:rsidR="00DC4EA5" w:rsidRDefault="00DC4EA5" w:rsidP="00DC4EA5">
      <w:pPr>
        <w:pStyle w:val="BodyText"/>
        <w:rPr>
          <w:rFonts w:cs="Arial"/>
          <w:szCs w:val="24"/>
        </w:rPr>
      </w:pPr>
      <w:r w:rsidRPr="003754F7">
        <w:rPr>
          <w:rFonts w:cs="Arial"/>
          <w:szCs w:val="24"/>
        </w:rPr>
        <w:t>GDP growth in the euro zone rebounded by 12.7% in Q3 2020 after contracting by -3.7% and -11.8% in the first and second quarters, respectively. Headline inflation, however, remains extremely weak, registering -0.3% year-on-year in November, the fourth successive month of deflation. Core inflation registered 0.2% y/y, well below the European Central Bank’s (ECB) target of ‘below, but close to 2%’.  The ECB is expected to continue holding its main interest rate of 0% and deposit facility rate of -0.5% for some time but expanded its monetary stimulus in December 2020, increasing the size of its asset purchase scheme to €1.85 trillion and extended it until March 2022.</w:t>
      </w:r>
    </w:p>
    <w:p w14:paraId="14A15E1D" w14:textId="77777777" w:rsidR="00DC4EA5" w:rsidRPr="003754F7" w:rsidRDefault="00DC4EA5" w:rsidP="00DC4EA5">
      <w:pPr>
        <w:pStyle w:val="BodyText"/>
        <w:rPr>
          <w:rFonts w:cs="Arial"/>
          <w:szCs w:val="24"/>
        </w:rPr>
      </w:pPr>
    </w:p>
    <w:p w14:paraId="0DA4475E" w14:textId="7A43351A" w:rsidR="00DC4EA5" w:rsidRPr="00B8149C" w:rsidRDefault="00DC4EA5" w:rsidP="00DC4EA5">
      <w:pPr>
        <w:pStyle w:val="BodyText"/>
        <w:jc w:val="both"/>
        <w:rPr>
          <w:rFonts w:cs="Arial"/>
          <w:sz w:val="22"/>
          <w:szCs w:val="22"/>
        </w:rPr>
      </w:pPr>
      <w:r w:rsidRPr="003754F7">
        <w:rPr>
          <w:rFonts w:cs="Arial"/>
          <w:szCs w:val="24"/>
        </w:rPr>
        <w:t>The US economy contracted at an annualised rate of 31.4% in Q2 2020 and then rebounded by 33.4% in Q3. The Federal Reserve maintained the Fed Funds rate at between 0% and 0.25% and announced a change to its inflation targeting regime to a more flexible form of average</w:t>
      </w:r>
      <w:r w:rsidR="001244FD">
        <w:rPr>
          <w:rFonts w:cs="Arial"/>
          <w:szCs w:val="24"/>
        </w:rPr>
        <w:t xml:space="preserve"> </w:t>
      </w:r>
      <w:r w:rsidRPr="003754F7">
        <w:rPr>
          <w:rFonts w:cs="Arial"/>
          <w:szCs w:val="24"/>
        </w:rPr>
        <w:t>targeting. The Fed also provided strong indications that interest rates are unlikely to change from current levels over the next three years.</w:t>
      </w:r>
    </w:p>
    <w:p w14:paraId="7252A9E7" w14:textId="77777777" w:rsidR="00DC4EA5" w:rsidRPr="00B8149C" w:rsidRDefault="00DC4EA5" w:rsidP="00DC4EA5">
      <w:pPr>
        <w:pStyle w:val="BodyText"/>
        <w:jc w:val="both"/>
        <w:rPr>
          <w:rFonts w:cs="Arial"/>
          <w:sz w:val="22"/>
          <w:szCs w:val="22"/>
        </w:rPr>
      </w:pPr>
    </w:p>
    <w:p w14:paraId="684CEB11" w14:textId="77777777" w:rsidR="00DC4EA5" w:rsidRPr="00FB1027" w:rsidRDefault="00DC4EA5" w:rsidP="00DC4EA5">
      <w:pPr>
        <w:pStyle w:val="BodyText"/>
        <w:rPr>
          <w:rFonts w:cs="Arial"/>
          <w:b/>
          <w:szCs w:val="24"/>
        </w:rPr>
      </w:pPr>
      <w:r w:rsidRPr="00FB1027">
        <w:rPr>
          <w:rFonts w:cs="Arial"/>
          <w:b/>
          <w:szCs w:val="24"/>
        </w:rPr>
        <w:t>Interest Rate Forecast and Prospects for Market Liquidity</w:t>
      </w:r>
    </w:p>
    <w:p w14:paraId="69E2D798" w14:textId="77777777" w:rsidR="00DC4EA5" w:rsidRPr="00F81A12" w:rsidRDefault="00DC4EA5" w:rsidP="00DC4EA5">
      <w:pPr>
        <w:pStyle w:val="BodyText"/>
        <w:rPr>
          <w:rFonts w:cs="Arial"/>
          <w:b/>
          <w:i/>
          <w:sz w:val="22"/>
          <w:szCs w:val="22"/>
        </w:rPr>
      </w:pPr>
    </w:p>
    <w:p w14:paraId="3E75DC0D" w14:textId="77777777" w:rsidR="00DC4EA5" w:rsidRPr="003B2FEF" w:rsidRDefault="00DC4EA5" w:rsidP="00DC4EA5">
      <w:pPr>
        <w:pStyle w:val="BodyText"/>
        <w:rPr>
          <w:rFonts w:cs="Arial"/>
          <w:szCs w:val="24"/>
        </w:rPr>
      </w:pPr>
      <w:r>
        <w:rPr>
          <w:rFonts w:cs="Arial"/>
          <w:szCs w:val="24"/>
        </w:rPr>
        <w:t xml:space="preserve">The </w:t>
      </w:r>
      <w:r w:rsidRPr="003754F7">
        <w:rPr>
          <w:rFonts w:cs="Arial"/>
          <w:szCs w:val="24"/>
        </w:rPr>
        <w:t xml:space="preserve">treasury management </w:t>
      </w:r>
      <w:r>
        <w:rPr>
          <w:rFonts w:cs="Arial"/>
          <w:szCs w:val="24"/>
        </w:rPr>
        <w:t>consultant</w:t>
      </w:r>
      <w:r w:rsidRPr="003754F7">
        <w:rPr>
          <w:rFonts w:cs="Arial"/>
          <w:szCs w:val="24"/>
        </w:rPr>
        <w:t xml:space="preserve"> </w:t>
      </w:r>
      <w:proofErr w:type="spellStart"/>
      <w:r w:rsidRPr="003754F7">
        <w:rPr>
          <w:rFonts w:cs="Arial"/>
          <w:szCs w:val="24"/>
        </w:rPr>
        <w:t>Arlingclose</w:t>
      </w:r>
      <w:proofErr w:type="spellEnd"/>
      <w:r w:rsidRPr="003754F7">
        <w:rPr>
          <w:rFonts w:cs="Arial"/>
          <w:szCs w:val="24"/>
        </w:rPr>
        <w:t xml:space="preserve"> is forecasting that BoE Bank Rate will remain at 0.1% until at least the first quarter of 2024. The risks to this forecast are judged to be to the downside as the BoE and UK government continue to react to the coronavirus pandemic and the new EU trading arrangements.</w:t>
      </w:r>
      <w:r>
        <w:rPr>
          <w:rFonts w:cs="Arial"/>
          <w:szCs w:val="24"/>
        </w:rPr>
        <w:t xml:space="preserve"> </w:t>
      </w:r>
      <w:r w:rsidRPr="003B2FEF">
        <w:rPr>
          <w:rFonts w:cs="Arial"/>
          <w:szCs w:val="24"/>
        </w:rPr>
        <w:t xml:space="preserve">The latest forecast is shown in the table below: </w:t>
      </w:r>
    </w:p>
    <w:p w14:paraId="4A87C5E6" w14:textId="77777777" w:rsidR="00DC4EA5" w:rsidRPr="00F81A12" w:rsidRDefault="00DC4EA5" w:rsidP="00DC4EA5">
      <w:pPr>
        <w:pStyle w:val="BodyText"/>
        <w:rPr>
          <w:rFonts w:cs="Arial"/>
          <w:sz w:val="22"/>
          <w:szCs w:val="22"/>
        </w:rPr>
      </w:pPr>
    </w:p>
    <w:tbl>
      <w:tblPr>
        <w:tblStyle w:val="TableGrid"/>
        <w:tblW w:w="0" w:type="auto"/>
        <w:tblLook w:val="04A0" w:firstRow="1" w:lastRow="0" w:firstColumn="1" w:lastColumn="0" w:noHBand="0" w:noVBand="1"/>
      </w:tblPr>
      <w:tblGrid>
        <w:gridCol w:w="1838"/>
        <w:gridCol w:w="851"/>
        <w:gridCol w:w="1133"/>
        <w:gridCol w:w="1135"/>
        <w:gridCol w:w="1133"/>
        <w:gridCol w:w="1133"/>
        <w:gridCol w:w="1133"/>
        <w:gridCol w:w="1133"/>
      </w:tblGrid>
      <w:tr w:rsidR="00DC4EA5" w14:paraId="07A0D6DB" w14:textId="77777777" w:rsidTr="001D1040">
        <w:trPr>
          <w:trHeight w:val="951"/>
        </w:trPr>
        <w:tc>
          <w:tcPr>
            <w:tcW w:w="1838" w:type="dxa"/>
          </w:tcPr>
          <w:p w14:paraId="55BFE6F7" w14:textId="77777777" w:rsidR="00DC4EA5" w:rsidRPr="00105E93" w:rsidRDefault="00DC4EA5" w:rsidP="001D1040">
            <w:pPr>
              <w:pStyle w:val="BodyText"/>
              <w:rPr>
                <w:rFonts w:cs="Arial"/>
                <w:szCs w:val="24"/>
              </w:rPr>
            </w:pPr>
          </w:p>
        </w:tc>
        <w:tc>
          <w:tcPr>
            <w:tcW w:w="851" w:type="dxa"/>
          </w:tcPr>
          <w:p w14:paraId="3E0C667A" w14:textId="77777777" w:rsidR="00DC4EA5" w:rsidRPr="00105E93" w:rsidRDefault="00DC4EA5" w:rsidP="001D1040">
            <w:pPr>
              <w:pStyle w:val="BodyText"/>
              <w:rPr>
                <w:rFonts w:cs="Arial"/>
                <w:szCs w:val="24"/>
              </w:rPr>
            </w:pPr>
            <w:r w:rsidRPr="00105E93">
              <w:rPr>
                <w:rFonts w:cs="Arial"/>
                <w:szCs w:val="24"/>
              </w:rPr>
              <w:t>Bank Rate %</w:t>
            </w:r>
          </w:p>
        </w:tc>
        <w:tc>
          <w:tcPr>
            <w:tcW w:w="1133" w:type="dxa"/>
          </w:tcPr>
          <w:p w14:paraId="7CC41A80" w14:textId="77777777" w:rsidR="00DC4EA5" w:rsidRPr="00105E93" w:rsidRDefault="00DC4EA5" w:rsidP="001D1040">
            <w:pPr>
              <w:pStyle w:val="BodyText"/>
              <w:rPr>
                <w:rFonts w:cs="Arial"/>
                <w:szCs w:val="24"/>
              </w:rPr>
            </w:pPr>
            <w:proofErr w:type="gramStart"/>
            <w:r w:rsidRPr="00105E93">
              <w:rPr>
                <w:rFonts w:cs="Arial"/>
                <w:szCs w:val="24"/>
              </w:rPr>
              <w:t>3 month</w:t>
            </w:r>
            <w:proofErr w:type="gramEnd"/>
            <w:r w:rsidRPr="00105E93">
              <w:rPr>
                <w:rFonts w:cs="Arial"/>
                <w:szCs w:val="24"/>
              </w:rPr>
              <w:t xml:space="preserve"> money market rate%</w:t>
            </w:r>
          </w:p>
        </w:tc>
        <w:tc>
          <w:tcPr>
            <w:tcW w:w="1135" w:type="dxa"/>
          </w:tcPr>
          <w:p w14:paraId="0A39ABF2" w14:textId="77777777" w:rsidR="00DC4EA5" w:rsidRPr="00105E93" w:rsidRDefault="00DC4EA5" w:rsidP="001D1040">
            <w:pPr>
              <w:pStyle w:val="BodyText"/>
              <w:rPr>
                <w:rFonts w:cs="Arial"/>
                <w:szCs w:val="24"/>
              </w:rPr>
            </w:pPr>
            <w:r w:rsidRPr="00105E93">
              <w:rPr>
                <w:rFonts w:cs="Arial"/>
                <w:szCs w:val="24"/>
              </w:rPr>
              <w:t>I year money market rate%</w:t>
            </w:r>
          </w:p>
        </w:tc>
        <w:tc>
          <w:tcPr>
            <w:tcW w:w="1133" w:type="dxa"/>
          </w:tcPr>
          <w:p w14:paraId="618617BD" w14:textId="77777777" w:rsidR="00DC4EA5" w:rsidRPr="00105E93" w:rsidRDefault="00DC4EA5" w:rsidP="001D1040">
            <w:pPr>
              <w:pStyle w:val="BodyText"/>
              <w:rPr>
                <w:rFonts w:cs="Arial"/>
                <w:szCs w:val="24"/>
              </w:rPr>
            </w:pPr>
            <w:proofErr w:type="gramStart"/>
            <w:r w:rsidRPr="00105E93">
              <w:rPr>
                <w:rFonts w:cs="Arial"/>
                <w:szCs w:val="24"/>
              </w:rPr>
              <w:t>5 year</w:t>
            </w:r>
            <w:proofErr w:type="gramEnd"/>
            <w:r w:rsidRPr="00105E93">
              <w:rPr>
                <w:rFonts w:cs="Arial"/>
                <w:szCs w:val="24"/>
              </w:rPr>
              <w:t xml:space="preserve"> gilt yield %</w:t>
            </w:r>
          </w:p>
        </w:tc>
        <w:tc>
          <w:tcPr>
            <w:tcW w:w="1133" w:type="dxa"/>
          </w:tcPr>
          <w:p w14:paraId="704989AB" w14:textId="77777777" w:rsidR="00DC4EA5" w:rsidRPr="00105E93" w:rsidRDefault="00DC4EA5" w:rsidP="001D1040">
            <w:pPr>
              <w:pStyle w:val="BodyText"/>
              <w:rPr>
                <w:rFonts w:cs="Arial"/>
                <w:szCs w:val="24"/>
              </w:rPr>
            </w:pPr>
            <w:proofErr w:type="gramStart"/>
            <w:r w:rsidRPr="00105E93">
              <w:rPr>
                <w:rFonts w:cs="Arial"/>
                <w:szCs w:val="24"/>
              </w:rPr>
              <w:t>10 year</w:t>
            </w:r>
            <w:proofErr w:type="gramEnd"/>
            <w:r w:rsidRPr="00105E93">
              <w:rPr>
                <w:rFonts w:cs="Arial"/>
                <w:szCs w:val="24"/>
              </w:rPr>
              <w:t xml:space="preserve"> gilt yield %</w:t>
            </w:r>
          </w:p>
        </w:tc>
        <w:tc>
          <w:tcPr>
            <w:tcW w:w="1133" w:type="dxa"/>
          </w:tcPr>
          <w:p w14:paraId="5033676C" w14:textId="77777777" w:rsidR="00DC4EA5" w:rsidRPr="00105E93" w:rsidRDefault="00DC4EA5" w:rsidP="001D1040">
            <w:pPr>
              <w:pStyle w:val="BodyText"/>
              <w:rPr>
                <w:rFonts w:cs="Arial"/>
                <w:szCs w:val="24"/>
              </w:rPr>
            </w:pPr>
            <w:proofErr w:type="gramStart"/>
            <w:r w:rsidRPr="00105E93">
              <w:rPr>
                <w:rFonts w:cs="Arial"/>
                <w:szCs w:val="24"/>
              </w:rPr>
              <w:t>20 year</w:t>
            </w:r>
            <w:proofErr w:type="gramEnd"/>
            <w:r w:rsidRPr="00105E93">
              <w:rPr>
                <w:rFonts w:cs="Arial"/>
                <w:szCs w:val="24"/>
              </w:rPr>
              <w:t xml:space="preserve"> gilt yield %</w:t>
            </w:r>
          </w:p>
        </w:tc>
        <w:tc>
          <w:tcPr>
            <w:tcW w:w="1133" w:type="dxa"/>
          </w:tcPr>
          <w:p w14:paraId="5F136F47" w14:textId="77777777" w:rsidR="00DC4EA5" w:rsidRPr="00105E93" w:rsidRDefault="00DC4EA5" w:rsidP="001D1040">
            <w:pPr>
              <w:pStyle w:val="BodyText"/>
              <w:rPr>
                <w:rFonts w:cs="Arial"/>
                <w:szCs w:val="24"/>
              </w:rPr>
            </w:pPr>
            <w:proofErr w:type="gramStart"/>
            <w:r w:rsidRPr="00105E93">
              <w:rPr>
                <w:rFonts w:cs="Arial"/>
                <w:szCs w:val="24"/>
              </w:rPr>
              <w:t>50 year</w:t>
            </w:r>
            <w:proofErr w:type="gramEnd"/>
            <w:r w:rsidRPr="00105E93">
              <w:rPr>
                <w:rFonts w:cs="Arial"/>
                <w:szCs w:val="24"/>
              </w:rPr>
              <w:t xml:space="preserve"> gilt yield %</w:t>
            </w:r>
          </w:p>
        </w:tc>
      </w:tr>
      <w:tr w:rsidR="00DC4EA5" w14:paraId="06408F1C" w14:textId="77777777" w:rsidTr="001D1040">
        <w:tc>
          <w:tcPr>
            <w:tcW w:w="1838" w:type="dxa"/>
          </w:tcPr>
          <w:p w14:paraId="405F3DCA" w14:textId="77777777" w:rsidR="00DC4EA5" w:rsidRPr="00105E93" w:rsidRDefault="00DC4EA5" w:rsidP="001D1040">
            <w:pPr>
              <w:pStyle w:val="BodyText"/>
              <w:rPr>
                <w:rFonts w:cs="Arial"/>
                <w:szCs w:val="24"/>
              </w:rPr>
            </w:pPr>
            <w:r w:rsidRPr="00105E93">
              <w:rPr>
                <w:rFonts w:cs="Arial"/>
                <w:szCs w:val="24"/>
              </w:rPr>
              <w:t>March 21</w:t>
            </w:r>
          </w:p>
        </w:tc>
        <w:tc>
          <w:tcPr>
            <w:tcW w:w="851" w:type="dxa"/>
          </w:tcPr>
          <w:p w14:paraId="20D24AFF" w14:textId="77777777" w:rsidR="00DC4EA5" w:rsidRPr="00105E93" w:rsidRDefault="00DC4EA5" w:rsidP="001D1040">
            <w:pPr>
              <w:pStyle w:val="BodyText"/>
              <w:rPr>
                <w:rFonts w:cs="Arial"/>
                <w:szCs w:val="24"/>
              </w:rPr>
            </w:pPr>
            <w:r w:rsidRPr="00105E93">
              <w:rPr>
                <w:rFonts w:cs="Arial"/>
                <w:szCs w:val="24"/>
              </w:rPr>
              <w:t>0.10</w:t>
            </w:r>
          </w:p>
        </w:tc>
        <w:tc>
          <w:tcPr>
            <w:tcW w:w="1133" w:type="dxa"/>
          </w:tcPr>
          <w:p w14:paraId="3E93DF98" w14:textId="77777777" w:rsidR="00DC4EA5" w:rsidRPr="00105E93" w:rsidRDefault="00DC4EA5" w:rsidP="001D1040">
            <w:pPr>
              <w:pStyle w:val="BodyText"/>
              <w:rPr>
                <w:rFonts w:cs="Arial"/>
                <w:szCs w:val="24"/>
              </w:rPr>
            </w:pPr>
            <w:r w:rsidRPr="00105E93">
              <w:rPr>
                <w:rFonts w:cs="Arial"/>
                <w:szCs w:val="24"/>
              </w:rPr>
              <w:t>0.10</w:t>
            </w:r>
          </w:p>
        </w:tc>
        <w:tc>
          <w:tcPr>
            <w:tcW w:w="1135" w:type="dxa"/>
          </w:tcPr>
          <w:p w14:paraId="49F5A495" w14:textId="77777777" w:rsidR="00DC4EA5" w:rsidRPr="00105E93" w:rsidRDefault="00DC4EA5" w:rsidP="001D1040">
            <w:pPr>
              <w:pStyle w:val="BodyText"/>
              <w:rPr>
                <w:rFonts w:cs="Arial"/>
                <w:szCs w:val="24"/>
              </w:rPr>
            </w:pPr>
            <w:r w:rsidRPr="00105E93">
              <w:rPr>
                <w:rFonts w:cs="Arial"/>
                <w:szCs w:val="24"/>
              </w:rPr>
              <w:t>0.15</w:t>
            </w:r>
          </w:p>
        </w:tc>
        <w:tc>
          <w:tcPr>
            <w:tcW w:w="1133" w:type="dxa"/>
          </w:tcPr>
          <w:p w14:paraId="6FB7C437" w14:textId="77777777" w:rsidR="00DC4EA5" w:rsidRPr="00105E93" w:rsidRDefault="00DC4EA5" w:rsidP="001D1040">
            <w:pPr>
              <w:pStyle w:val="BodyText"/>
              <w:rPr>
                <w:rFonts w:cs="Arial"/>
                <w:szCs w:val="24"/>
              </w:rPr>
            </w:pPr>
            <w:r w:rsidRPr="00105E93">
              <w:rPr>
                <w:rFonts w:cs="Arial"/>
                <w:szCs w:val="24"/>
              </w:rPr>
              <w:t>0.00</w:t>
            </w:r>
          </w:p>
        </w:tc>
        <w:tc>
          <w:tcPr>
            <w:tcW w:w="1133" w:type="dxa"/>
          </w:tcPr>
          <w:p w14:paraId="77EF54E2" w14:textId="77777777" w:rsidR="00DC4EA5" w:rsidRPr="00105E93" w:rsidRDefault="00DC4EA5" w:rsidP="001D1040">
            <w:pPr>
              <w:pStyle w:val="BodyText"/>
              <w:rPr>
                <w:rFonts w:cs="Arial"/>
                <w:szCs w:val="24"/>
              </w:rPr>
            </w:pPr>
            <w:r w:rsidRPr="00105E93">
              <w:rPr>
                <w:rFonts w:cs="Arial"/>
                <w:szCs w:val="24"/>
              </w:rPr>
              <w:t>0.25</w:t>
            </w:r>
          </w:p>
        </w:tc>
        <w:tc>
          <w:tcPr>
            <w:tcW w:w="1133" w:type="dxa"/>
          </w:tcPr>
          <w:p w14:paraId="33985950" w14:textId="77777777" w:rsidR="00DC4EA5" w:rsidRPr="00105E93" w:rsidRDefault="00DC4EA5" w:rsidP="001D1040">
            <w:pPr>
              <w:pStyle w:val="BodyText"/>
              <w:rPr>
                <w:rFonts w:cs="Arial"/>
                <w:szCs w:val="24"/>
              </w:rPr>
            </w:pPr>
            <w:r w:rsidRPr="00105E93">
              <w:rPr>
                <w:rFonts w:cs="Arial"/>
                <w:szCs w:val="24"/>
              </w:rPr>
              <w:t>0.70</w:t>
            </w:r>
          </w:p>
        </w:tc>
        <w:tc>
          <w:tcPr>
            <w:tcW w:w="1133" w:type="dxa"/>
          </w:tcPr>
          <w:p w14:paraId="76A72B99" w14:textId="77777777" w:rsidR="00DC4EA5" w:rsidRPr="00105E93" w:rsidRDefault="00DC4EA5" w:rsidP="001D1040">
            <w:pPr>
              <w:pStyle w:val="BodyText"/>
              <w:rPr>
                <w:rFonts w:cs="Arial"/>
                <w:szCs w:val="24"/>
              </w:rPr>
            </w:pPr>
            <w:r w:rsidRPr="00105E93">
              <w:rPr>
                <w:rFonts w:cs="Arial"/>
                <w:szCs w:val="24"/>
              </w:rPr>
              <w:t>0.60</w:t>
            </w:r>
          </w:p>
        </w:tc>
      </w:tr>
      <w:tr w:rsidR="00DC4EA5" w14:paraId="721E799C" w14:textId="77777777" w:rsidTr="001D1040">
        <w:tc>
          <w:tcPr>
            <w:tcW w:w="1838" w:type="dxa"/>
          </w:tcPr>
          <w:p w14:paraId="75BEE8D4" w14:textId="77777777" w:rsidR="00DC4EA5" w:rsidRPr="00105E93" w:rsidRDefault="00DC4EA5" w:rsidP="001D1040">
            <w:pPr>
              <w:pStyle w:val="BodyText"/>
              <w:rPr>
                <w:rFonts w:cs="Arial"/>
                <w:szCs w:val="24"/>
              </w:rPr>
            </w:pPr>
            <w:r w:rsidRPr="00105E93">
              <w:rPr>
                <w:rFonts w:cs="Arial"/>
                <w:szCs w:val="24"/>
              </w:rPr>
              <w:t>June 21</w:t>
            </w:r>
          </w:p>
        </w:tc>
        <w:tc>
          <w:tcPr>
            <w:tcW w:w="851" w:type="dxa"/>
          </w:tcPr>
          <w:p w14:paraId="37F70E0B" w14:textId="77777777" w:rsidR="00DC4EA5" w:rsidRPr="00105E93" w:rsidRDefault="00DC4EA5" w:rsidP="001D1040">
            <w:pPr>
              <w:pStyle w:val="BodyText"/>
              <w:rPr>
                <w:rFonts w:cs="Arial"/>
                <w:szCs w:val="24"/>
              </w:rPr>
            </w:pPr>
            <w:r w:rsidRPr="00105E93">
              <w:rPr>
                <w:rFonts w:cs="Arial"/>
                <w:szCs w:val="24"/>
              </w:rPr>
              <w:t>0.10</w:t>
            </w:r>
          </w:p>
        </w:tc>
        <w:tc>
          <w:tcPr>
            <w:tcW w:w="1133" w:type="dxa"/>
          </w:tcPr>
          <w:p w14:paraId="1BE28DBF" w14:textId="77777777" w:rsidR="00DC4EA5" w:rsidRPr="00105E93" w:rsidRDefault="00DC4EA5" w:rsidP="001D1040">
            <w:pPr>
              <w:pStyle w:val="BodyText"/>
              <w:rPr>
                <w:rFonts w:cs="Arial"/>
                <w:szCs w:val="24"/>
              </w:rPr>
            </w:pPr>
            <w:r w:rsidRPr="00105E93">
              <w:rPr>
                <w:rFonts w:cs="Arial"/>
                <w:szCs w:val="24"/>
              </w:rPr>
              <w:t>0.10</w:t>
            </w:r>
          </w:p>
        </w:tc>
        <w:tc>
          <w:tcPr>
            <w:tcW w:w="1135" w:type="dxa"/>
          </w:tcPr>
          <w:p w14:paraId="5D649261" w14:textId="77777777" w:rsidR="00DC4EA5" w:rsidRPr="00105E93" w:rsidRDefault="00DC4EA5" w:rsidP="001D1040">
            <w:pPr>
              <w:pStyle w:val="BodyText"/>
              <w:rPr>
                <w:rFonts w:cs="Arial"/>
                <w:szCs w:val="24"/>
              </w:rPr>
            </w:pPr>
            <w:r w:rsidRPr="00105E93">
              <w:rPr>
                <w:rFonts w:cs="Arial"/>
                <w:szCs w:val="24"/>
              </w:rPr>
              <w:t>0.15</w:t>
            </w:r>
          </w:p>
        </w:tc>
        <w:tc>
          <w:tcPr>
            <w:tcW w:w="1133" w:type="dxa"/>
          </w:tcPr>
          <w:p w14:paraId="765083B4" w14:textId="77777777" w:rsidR="00DC4EA5" w:rsidRPr="00105E93" w:rsidRDefault="00DC4EA5" w:rsidP="001D1040">
            <w:pPr>
              <w:pStyle w:val="BodyText"/>
              <w:rPr>
                <w:rFonts w:cs="Arial"/>
                <w:szCs w:val="24"/>
              </w:rPr>
            </w:pPr>
            <w:r w:rsidRPr="00105E93">
              <w:rPr>
                <w:rFonts w:cs="Arial"/>
                <w:szCs w:val="24"/>
              </w:rPr>
              <w:t>0.00</w:t>
            </w:r>
          </w:p>
        </w:tc>
        <w:tc>
          <w:tcPr>
            <w:tcW w:w="1133" w:type="dxa"/>
          </w:tcPr>
          <w:p w14:paraId="09D982E2" w14:textId="77777777" w:rsidR="00DC4EA5" w:rsidRPr="00105E93" w:rsidRDefault="00DC4EA5" w:rsidP="001D1040">
            <w:pPr>
              <w:pStyle w:val="BodyText"/>
              <w:rPr>
                <w:rFonts w:cs="Arial"/>
                <w:szCs w:val="24"/>
              </w:rPr>
            </w:pPr>
            <w:r w:rsidRPr="00105E93">
              <w:rPr>
                <w:rFonts w:cs="Arial"/>
                <w:szCs w:val="24"/>
              </w:rPr>
              <w:t>0.30</w:t>
            </w:r>
          </w:p>
        </w:tc>
        <w:tc>
          <w:tcPr>
            <w:tcW w:w="1133" w:type="dxa"/>
          </w:tcPr>
          <w:p w14:paraId="787EE08E" w14:textId="77777777" w:rsidR="00DC4EA5" w:rsidRPr="00105E93" w:rsidRDefault="00DC4EA5" w:rsidP="001D1040">
            <w:pPr>
              <w:pStyle w:val="BodyText"/>
              <w:rPr>
                <w:rFonts w:cs="Arial"/>
                <w:szCs w:val="24"/>
              </w:rPr>
            </w:pPr>
            <w:r w:rsidRPr="00105E93">
              <w:rPr>
                <w:rFonts w:cs="Arial"/>
                <w:szCs w:val="24"/>
              </w:rPr>
              <w:t>0.70</w:t>
            </w:r>
          </w:p>
        </w:tc>
        <w:tc>
          <w:tcPr>
            <w:tcW w:w="1133" w:type="dxa"/>
          </w:tcPr>
          <w:p w14:paraId="36799A3A" w14:textId="77777777" w:rsidR="00DC4EA5" w:rsidRPr="00105E93" w:rsidRDefault="00DC4EA5" w:rsidP="001D1040">
            <w:pPr>
              <w:pStyle w:val="BodyText"/>
              <w:rPr>
                <w:rFonts w:cs="Arial"/>
                <w:szCs w:val="24"/>
              </w:rPr>
            </w:pPr>
            <w:r w:rsidRPr="00105E93">
              <w:rPr>
                <w:rFonts w:cs="Arial"/>
                <w:szCs w:val="24"/>
              </w:rPr>
              <w:t>0.60</w:t>
            </w:r>
          </w:p>
        </w:tc>
      </w:tr>
      <w:tr w:rsidR="00DC4EA5" w14:paraId="5B46DF5F" w14:textId="77777777" w:rsidTr="001D1040">
        <w:tc>
          <w:tcPr>
            <w:tcW w:w="1838" w:type="dxa"/>
          </w:tcPr>
          <w:p w14:paraId="162C4E02" w14:textId="77777777" w:rsidR="00DC4EA5" w:rsidRPr="00105E93" w:rsidRDefault="00DC4EA5" w:rsidP="001D1040">
            <w:pPr>
              <w:pStyle w:val="BodyText"/>
              <w:rPr>
                <w:rFonts w:cs="Arial"/>
                <w:szCs w:val="24"/>
              </w:rPr>
            </w:pPr>
            <w:r w:rsidRPr="00105E93">
              <w:rPr>
                <w:rFonts w:cs="Arial"/>
                <w:szCs w:val="24"/>
              </w:rPr>
              <w:t>September 21</w:t>
            </w:r>
          </w:p>
        </w:tc>
        <w:tc>
          <w:tcPr>
            <w:tcW w:w="851" w:type="dxa"/>
          </w:tcPr>
          <w:p w14:paraId="3CB971C7" w14:textId="77777777" w:rsidR="00DC4EA5" w:rsidRPr="00105E93" w:rsidRDefault="00DC4EA5" w:rsidP="001D1040">
            <w:pPr>
              <w:pStyle w:val="BodyText"/>
              <w:rPr>
                <w:rFonts w:cs="Arial"/>
                <w:szCs w:val="24"/>
              </w:rPr>
            </w:pPr>
            <w:r w:rsidRPr="00105E93">
              <w:rPr>
                <w:rFonts w:cs="Arial"/>
                <w:szCs w:val="24"/>
              </w:rPr>
              <w:t>0.10</w:t>
            </w:r>
          </w:p>
        </w:tc>
        <w:tc>
          <w:tcPr>
            <w:tcW w:w="1133" w:type="dxa"/>
          </w:tcPr>
          <w:p w14:paraId="314EAAF9" w14:textId="77777777" w:rsidR="00DC4EA5" w:rsidRPr="00105E93" w:rsidRDefault="00DC4EA5" w:rsidP="001D1040">
            <w:pPr>
              <w:pStyle w:val="BodyText"/>
              <w:rPr>
                <w:rFonts w:cs="Arial"/>
                <w:szCs w:val="24"/>
              </w:rPr>
            </w:pPr>
            <w:r w:rsidRPr="00105E93">
              <w:rPr>
                <w:rFonts w:cs="Arial"/>
                <w:szCs w:val="24"/>
              </w:rPr>
              <w:t>0.15</w:t>
            </w:r>
          </w:p>
        </w:tc>
        <w:tc>
          <w:tcPr>
            <w:tcW w:w="1135" w:type="dxa"/>
          </w:tcPr>
          <w:p w14:paraId="3201D778" w14:textId="77777777" w:rsidR="00DC4EA5" w:rsidRPr="00105E93" w:rsidRDefault="00DC4EA5" w:rsidP="001D1040">
            <w:pPr>
              <w:pStyle w:val="BodyText"/>
              <w:rPr>
                <w:rFonts w:cs="Arial"/>
                <w:szCs w:val="24"/>
              </w:rPr>
            </w:pPr>
            <w:r w:rsidRPr="00105E93">
              <w:rPr>
                <w:rFonts w:cs="Arial"/>
                <w:szCs w:val="24"/>
              </w:rPr>
              <w:t>0.25</w:t>
            </w:r>
          </w:p>
        </w:tc>
        <w:tc>
          <w:tcPr>
            <w:tcW w:w="1133" w:type="dxa"/>
          </w:tcPr>
          <w:p w14:paraId="0BB3D53D" w14:textId="77777777" w:rsidR="00DC4EA5" w:rsidRPr="00105E93" w:rsidRDefault="00DC4EA5" w:rsidP="001D1040">
            <w:pPr>
              <w:pStyle w:val="BodyText"/>
              <w:rPr>
                <w:rFonts w:cs="Arial"/>
                <w:szCs w:val="24"/>
              </w:rPr>
            </w:pPr>
            <w:r w:rsidRPr="00105E93">
              <w:rPr>
                <w:rFonts w:cs="Arial"/>
                <w:szCs w:val="24"/>
              </w:rPr>
              <w:t>0.05</w:t>
            </w:r>
          </w:p>
        </w:tc>
        <w:tc>
          <w:tcPr>
            <w:tcW w:w="1133" w:type="dxa"/>
          </w:tcPr>
          <w:p w14:paraId="0D0832F2" w14:textId="77777777" w:rsidR="00DC4EA5" w:rsidRPr="00105E93" w:rsidRDefault="00DC4EA5" w:rsidP="001D1040">
            <w:pPr>
              <w:pStyle w:val="BodyText"/>
              <w:rPr>
                <w:rFonts w:cs="Arial"/>
                <w:szCs w:val="24"/>
              </w:rPr>
            </w:pPr>
            <w:r w:rsidRPr="00105E93">
              <w:rPr>
                <w:rFonts w:cs="Arial"/>
                <w:szCs w:val="24"/>
              </w:rPr>
              <w:t>0.35</w:t>
            </w:r>
          </w:p>
        </w:tc>
        <w:tc>
          <w:tcPr>
            <w:tcW w:w="1133" w:type="dxa"/>
          </w:tcPr>
          <w:p w14:paraId="0E9720B8" w14:textId="77777777" w:rsidR="00DC4EA5" w:rsidRPr="00105E93" w:rsidRDefault="00DC4EA5" w:rsidP="001D1040">
            <w:pPr>
              <w:pStyle w:val="BodyText"/>
              <w:rPr>
                <w:rFonts w:cs="Arial"/>
                <w:szCs w:val="24"/>
              </w:rPr>
            </w:pPr>
            <w:r w:rsidRPr="00105E93">
              <w:rPr>
                <w:rFonts w:cs="Arial"/>
                <w:szCs w:val="24"/>
              </w:rPr>
              <w:t>0.75</w:t>
            </w:r>
          </w:p>
        </w:tc>
        <w:tc>
          <w:tcPr>
            <w:tcW w:w="1133" w:type="dxa"/>
          </w:tcPr>
          <w:p w14:paraId="56CEEC2A" w14:textId="77777777" w:rsidR="00DC4EA5" w:rsidRPr="00105E93" w:rsidRDefault="00DC4EA5" w:rsidP="001D1040">
            <w:pPr>
              <w:pStyle w:val="BodyText"/>
              <w:rPr>
                <w:rFonts w:cs="Arial"/>
                <w:szCs w:val="24"/>
              </w:rPr>
            </w:pPr>
            <w:r w:rsidRPr="00105E93">
              <w:rPr>
                <w:rFonts w:cs="Arial"/>
                <w:szCs w:val="24"/>
              </w:rPr>
              <w:t>0.65</w:t>
            </w:r>
          </w:p>
        </w:tc>
      </w:tr>
      <w:tr w:rsidR="00DC4EA5" w14:paraId="2C7796D2" w14:textId="77777777" w:rsidTr="001D1040">
        <w:tc>
          <w:tcPr>
            <w:tcW w:w="1838" w:type="dxa"/>
          </w:tcPr>
          <w:p w14:paraId="48F430BA" w14:textId="77777777" w:rsidR="00DC4EA5" w:rsidRPr="00105E93" w:rsidRDefault="00DC4EA5" w:rsidP="001D1040">
            <w:pPr>
              <w:pStyle w:val="BodyText"/>
              <w:rPr>
                <w:rFonts w:cs="Arial"/>
                <w:szCs w:val="24"/>
              </w:rPr>
            </w:pPr>
            <w:r w:rsidRPr="00105E93">
              <w:rPr>
                <w:rFonts w:cs="Arial"/>
                <w:szCs w:val="24"/>
              </w:rPr>
              <w:t>December 21</w:t>
            </w:r>
          </w:p>
        </w:tc>
        <w:tc>
          <w:tcPr>
            <w:tcW w:w="851" w:type="dxa"/>
          </w:tcPr>
          <w:p w14:paraId="5AFE3B04" w14:textId="77777777" w:rsidR="00DC4EA5" w:rsidRPr="00105E93" w:rsidRDefault="00DC4EA5" w:rsidP="001D1040">
            <w:pPr>
              <w:pStyle w:val="BodyText"/>
              <w:rPr>
                <w:rFonts w:cs="Arial"/>
                <w:szCs w:val="24"/>
              </w:rPr>
            </w:pPr>
            <w:r w:rsidRPr="00105E93">
              <w:rPr>
                <w:rFonts w:cs="Arial"/>
                <w:szCs w:val="24"/>
              </w:rPr>
              <w:t>0.10</w:t>
            </w:r>
          </w:p>
        </w:tc>
        <w:tc>
          <w:tcPr>
            <w:tcW w:w="1133" w:type="dxa"/>
          </w:tcPr>
          <w:p w14:paraId="662AF46C" w14:textId="77777777" w:rsidR="00DC4EA5" w:rsidRPr="00105E93" w:rsidRDefault="00DC4EA5" w:rsidP="001D1040">
            <w:pPr>
              <w:pStyle w:val="BodyText"/>
              <w:rPr>
                <w:rFonts w:cs="Arial"/>
                <w:szCs w:val="24"/>
              </w:rPr>
            </w:pPr>
            <w:r w:rsidRPr="00105E93">
              <w:rPr>
                <w:rFonts w:cs="Arial"/>
                <w:szCs w:val="24"/>
              </w:rPr>
              <w:t>0.15</w:t>
            </w:r>
          </w:p>
        </w:tc>
        <w:tc>
          <w:tcPr>
            <w:tcW w:w="1135" w:type="dxa"/>
          </w:tcPr>
          <w:p w14:paraId="18EFC9A0" w14:textId="77777777" w:rsidR="00DC4EA5" w:rsidRPr="00105E93" w:rsidRDefault="00DC4EA5" w:rsidP="001D1040">
            <w:pPr>
              <w:pStyle w:val="BodyText"/>
              <w:rPr>
                <w:rFonts w:cs="Arial"/>
                <w:szCs w:val="24"/>
              </w:rPr>
            </w:pPr>
            <w:r w:rsidRPr="00105E93">
              <w:rPr>
                <w:rFonts w:cs="Arial"/>
                <w:szCs w:val="24"/>
              </w:rPr>
              <w:t>0.25</w:t>
            </w:r>
          </w:p>
        </w:tc>
        <w:tc>
          <w:tcPr>
            <w:tcW w:w="1133" w:type="dxa"/>
          </w:tcPr>
          <w:p w14:paraId="4216B24D" w14:textId="77777777" w:rsidR="00DC4EA5" w:rsidRPr="00105E93" w:rsidRDefault="00DC4EA5" w:rsidP="001D1040">
            <w:pPr>
              <w:pStyle w:val="BodyText"/>
              <w:rPr>
                <w:rFonts w:cs="Arial"/>
                <w:szCs w:val="24"/>
              </w:rPr>
            </w:pPr>
            <w:r w:rsidRPr="00105E93">
              <w:rPr>
                <w:rFonts w:cs="Arial"/>
                <w:szCs w:val="24"/>
              </w:rPr>
              <w:t>0.10</w:t>
            </w:r>
          </w:p>
        </w:tc>
        <w:tc>
          <w:tcPr>
            <w:tcW w:w="1133" w:type="dxa"/>
          </w:tcPr>
          <w:p w14:paraId="7BC31022" w14:textId="77777777" w:rsidR="00DC4EA5" w:rsidRPr="00105E93" w:rsidRDefault="00DC4EA5" w:rsidP="001D1040">
            <w:pPr>
              <w:pStyle w:val="BodyText"/>
              <w:rPr>
                <w:rFonts w:cs="Arial"/>
                <w:szCs w:val="24"/>
              </w:rPr>
            </w:pPr>
            <w:r w:rsidRPr="00105E93">
              <w:rPr>
                <w:rFonts w:cs="Arial"/>
                <w:szCs w:val="24"/>
              </w:rPr>
              <w:t>0.25</w:t>
            </w:r>
          </w:p>
        </w:tc>
        <w:tc>
          <w:tcPr>
            <w:tcW w:w="1133" w:type="dxa"/>
          </w:tcPr>
          <w:p w14:paraId="054ED23B" w14:textId="77777777" w:rsidR="00DC4EA5" w:rsidRPr="00105E93" w:rsidRDefault="00DC4EA5" w:rsidP="001D1040">
            <w:pPr>
              <w:pStyle w:val="BodyText"/>
              <w:rPr>
                <w:rFonts w:cs="Arial"/>
                <w:szCs w:val="24"/>
              </w:rPr>
            </w:pPr>
            <w:r w:rsidRPr="00105E93">
              <w:rPr>
                <w:rFonts w:cs="Arial"/>
                <w:szCs w:val="24"/>
              </w:rPr>
              <w:t>0.75</w:t>
            </w:r>
          </w:p>
        </w:tc>
        <w:tc>
          <w:tcPr>
            <w:tcW w:w="1133" w:type="dxa"/>
          </w:tcPr>
          <w:p w14:paraId="3BE3C7DF" w14:textId="77777777" w:rsidR="00DC4EA5" w:rsidRPr="00105E93" w:rsidRDefault="00DC4EA5" w:rsidP="001D1040">
            <w:pPr>
              <w:pStyle w:val="BodyText"/>
              <w:rPr>
                <w:rFonts w:cs="Arial"/>
                <w:szCs w:val="24"/>
              </w:rPr>
            </w:pPr>
            <w:r w:rsidRPr="00105E93">
              <w:rPr>
                <w:rFonts w:cs="Arial"/>
                <w:szCs w:val="24"/>
              </w:rPr>
              <w:t>0.65</w:t>
            </w:r>
          </w:p>
        </w:tc>
      </w:tr>
      <w:tr w:rsidR="00DC4EA5" w14:paraId="574286AF" w14:textId="77777777" w:rsidTr="001D1040">
        <w:tc>
          <w:tcPr>
            <w:tcW w:w="1838" w:type="dxa"/>
          </w:tcPr>
          <w:p w14:paraId="02E1C3D8" w14:textId="77777777" w:rsidR="00DC4EA5" w:rsidRPr="00105E93" w:rsidRDefault="00DC4EA5" w:rsidP="001D1040">
            <w:pPr>
              <w:pStyle w:val="BodyText"/>
              <w:rPr>
                <w:rFonts w:cs="Arial"/>
                <w:szCs w:val="24"/>
              </w:rPr>
            </w:pPr>
            <w:r w:rsidRPr="00105E93">
              <w:rPr>
                <w:rFonts w:cs="Arial"/>
                <w:szCs w:val="24"/>
              </w:rPr>
              <w:t>March 22</w:t>
            </w:r>
          </w:p>
        </w:tc>
        <w:tc>
          <w:tcPr>
            <w:tcW w:w="851" w:type="dxa"/>
          </w:tcPr>
          <w:p w14:paraId="2A22E8DF" w14:textId="77777777" w:rsidR="00DC4EA5" w:rsidRPr="00105E93" w:rsidRDefault="00DC4EA5" w:rsidP="001D1040">
            <w:pPr>
              <w:pStyle w:val="BodyText"/>
              <w:rPr>
                <w:rFonts w:cs="Arial"/>
                <w:szCs w:val="24"/>
              </w:rPr>
            </w:pPr>
            <w:r w:rsidRPr="00105E93">
              <w:rPr>
                <w:rFonts w:cs="Arial"/>
                <w:szCs w:val="24"/>
              </w:rPr>
              <w:t>0.10</w:t>
            </w:r>
          </w:p>
        </w:tc>
        <w:tc>
          <w:tcPr>
            <w:tcW w:w="1133" w:type="dxa"/>
          </w:tcPr>
          <w:p w14:paraId="184C7DB8" w14:textId="77777777" w:rsidR="00DC4EA5" w:rsidRPr="00105E93" w:rsidRDefault="00DC4EA5" w:rsidP="001D1040">
            <w:pPr>
              <w:pStyle w:val="BodyText"/>
              <w:rPr>
                <w:rFonts w:cs="Arial"/>
                <w:szCs w:val="24"/>
              </w:rPr>
            </w:pPr>
            <w:r w:rsidRPr="00105E93">
              <w:rPr>
                <w:rFonts w:cs="Arial"/>
                <w:szCs w:val="24"/>
              </w:rPr>
              <w:t>0.20</w:t>
            </w:r>
          </w:p>
        </w:tc>
        <w:tc>
          <w:tcPr>
            <w:tcW w:w="1135" w:type="dxa"/>
          </w:tcPr>
          <w:p w14:paraId="497FC9FE" w14:textId="77777777" w:rsidR="00DC4EA5" w:rsidRPr="00105E93" w:rsidRDefault="00DC4EA5" w:rsidP="001D1040">
            <w:pPr>
              <w:pStyle w:val="BodyText"/>
              <w:rPr>
                <w:rFonts w:cs="Arial"/>
                <w:szCs w:val="24"/>
              </w:rPr>
            </w:pPr>
            <w:r w:rsidRPr="00105E93">
              <w:rPr>
                <w:rFonts w:cs="Arial"/>
                <w:szCs w:val="24"/>
              </w:rPr>
              <w:t>0.30</w:t>
            </w:r>
          </w:p>
        </w:tc>
        <w:tc>
          <w:tcPr>
            <w:tcW w:w="1133" w:type="dxa"/>
          </w:tcPr>
          <w:p w14:paraId="4675006C" w14:textId="77777777" w:rsidR="00DC4EA5" w:rsidRPr="00105E93" w:rsidRDefault="00DC4EA5" w:rsidP="001D1040">
            <w:pPr>
              <w:pStyle w:val="BodyText"/>
              <w:rPr>
                <w:rFonts w:cs="Arial"/>
                <w:szCs w:val="24"/>
              </w:rPr>
            </w:pPr>
            <w:r w:rsidRPr="00105E93">
              <w:rPr>
                <w:rFonts w:cs="Arial"/>
                <w:szCs w:val="24"/>
              </w:rPr>
              <w:t>0.15</w:t>
            </w:r>
          </w:p>
        </w:tc>
        <w:tc>
          <w:tcPr>
            <w:tcW w:w="1133" w:type="dxa"/>
          </w:tcPr>
          <w:p w14:paraId="119DFF56" w14:textId="77777777" w:rsidR="00DC4EA5" w:rsidRPr="00105E93" w:rsidRDefault="00DC4EA5" w:rsidP="001D1040">
            <w:pPr>
              <w:pStyle w:val="BodyText"/>
              <w:rPr>
                <w:rFonts w:cs="Arial"/>
                <w:szCs w:val="24"/>
              </w:rPr>
            </w:pPr>
            <w:r w:rsidRPr="00105E93">
              <w:rPr>
                <w:rFonts w:cs="Arial"/>
                <w:szCs w:val="24"/>
              </w:rPr>
              <w:t>0.40</w:t>
            </w:r>
          </w:p>
        </w:tc>
        <w:tc>
          <w:tcPr>
            <w:tcW w:w="1133" w:type="dxa"/>
          </w:tcPr>
          <w:p w14:paraId="75594062" w14:textId="77777777" w:rsidR="00DC4EA5" w:rsidRPr="00105E93" w:rsidRDefault="00DC4EA5" w:rsidP="001D1040">
            <w:pPr>
              <w:pStyle w:val="BodyText"/>
              <w:rPr>
                <w:rFonts w:cs="Arial"/>
                <w:szCs w:val="24"/>
              </w:rPr>
            </w:pPr>
            <w:r w:rsidRPr="00105E93">
              <w:rPr>
                <w:rFonts w:cs="Arial"/>
                <w:szCs w:val="24"/>
              </w:rPr>
              <w:t>0.75</w:t>
            </w:r>
          </w:p>
        </w:tc>
        <w:tc>
          <w:tcPr>
            <w:tcW w:w="1133" w:type="dxa"/>
          </w:tcPr>
          <w:p w14:paraId="7C07EE01" w14:textId="77777777" w:rsidR="00DC4EA5" w:rsidRPr="00105E93" w:rsidRDefault="00DC4EA5" w:rsidP="001D1040">
            <w:pPr>
              <w:pStyle w:val="BodyText"/>
              <w:rPr>
                <w:rFonts w:cs="Arial"/>
                <w:szCs w:val="24"/>
              </w:rPr>
            </w:pPr>
            <w:r w:rsidRPr="00105E93">
              <w:rPr>
                <w:rFonts w:cs="Arial"/>
                <w:szCs w:val="24"/>
              </w:rPr>
              <w:t>0.65</w:t>
            </w:r>
          </w:p>
        </w:tc>
      </w:tr>
      <w:tr w:rsidR="00DC4EA5" w14:paraId="783D8A74" w14:textId="77777777" w:rsidTr="001D1040">
        <w:tc>
          <w:tcPr>
            <w:tcW w:w="1838" w:type="dxa"/>
          </w:tcPr>
          <w:p w14:paraId="2E35DE30" w14:textId="77777777" w:rsidR="00DC4EA5" w:rsidRPr="00105E93" w:rsidRDefault="00DC4EA5" w:rsidP="001D1040">
            <w:pPr>
              <w:pStyle w:val="BodyText"/>
              <w:rPr>
                <w:rFonts w:cs="Arial"/>
                <w:szCs w:val="24"/>
              </w:rPr>
            </w:pPr>
            <w:r w:rsidRPr="00105E93">
              <w:rPr>
                <w:rFonts w:cs="Arial"/>
                <w:szCs w:val="24"/>
              </w:rPr>
              <w:t>June 22</w:t>
            </w:r>
          </w:p>
        </w:tc>
        <w:tc>
          <w:tcPr>
            <w:tcW w:w="851" w:type="dxa"/>
          </w:tcPr>
          <w:p w14:paraId="63999F84" w14:textId="77777777" w:rsidR="00DC4EA5" w:rsidRPr="00105E93" w:rsidRDefault="00DC4EA5" w:rsidP="001D1040">
            <w:pPr>
              <w:pStyle w:val="BodyText"/>
              <w:rPr>
                <w:rFonts w:cs="Arial"/>
                <w:szCs w:val="24"/>
              </w:rPr>
            </w:pPr>
            <w:r w:rsidRPr="00105E93">
              <w:rPr>
                <w:rFonts w:cs="Arial"/>
                <w:szCs w:val="24"/>
              </w:rPr>
              <w:t>0.10</w:t>
            </w:r>
          </w:p>
        </w:tc>
        <w:tc>
          <w:tcPr>
            <w:tcW w:w="1133" w:type="dxa"/>
          </w:tcPr>
          <w:p w14:paraId="1789811E" w14:textId="77777777" w:rsidR="00DC4EA5" w:rsidRPr="00105E93" w:rsidRDefault="00DC4EA5" w:rsidP="001D1040">
            <w:pPr>
              <w:pStyle w:val="BodyText"/>
              <w:rPr>
                <w:rFonts w:cs="Arial"/>
                <w:szCs w:val="24"/>
              </w:rPr>
            </w:pPr>
            <w:r w:rsidRPr="00105E93">
              <w:rPr>
                <w:rFonts w:cs="Arial"/>
                <w:szCs w:val="24"/>
              </w:rPr>
              <w:t>0.20</w:t>
            </w:r>
          </w:p>
        </w:tc>
        <w:tc>
          <w:tcPr>
            <w:tcW w:w="1135" w:type="dxa"/>
          </w:tcPr>
          <w:p w14:paraId="112B2089" w14:textId="77777777" w:rsidR="00DC4EA5" w:rsidRPr="00105E93" w:rsidRDefault="00DC4EA5" w:rsidP="001D1040">
            <w:pPr>
              <w:pStyle w:val="BodyText"/>
              <w:rPr>
                <w:rFonts w:cs="Arial"/>
                <w:szCs w:val="24"/>
              </w:rPr>
            </w:pPr>
            <w:r w:rsidRPr="00105E93">
              <w:rPr>
                <w:rFonts w:cs="Arial"/>
                <w:szCs w:val="24"/>
              </w:rPr>
              <w:t>0.30</w:t>
            </w:r>
          </w:p>
        </w:tc>
        <w:tc>
          <w:tcPr>
            <w:tcW w:w="1133" w:type="dxa"/>
          </w:tcPr>
          <w:p w14:paraId="3E8BE9EE" w14:textId="77777777" w:rsidR="00DC4EA5" w:rsidRPr="00105E93" w:rsidRDefault="00DC4EA5" w:rsidP="001D1040">
            <w:pPr>
              <w:pStyle w:val="BodyText"/>
              <w:rPr>
                <w:rFonts w:cs="Arial"/>
                <w:szCs w:val="24"/>
              </w:rPr>
            </w:pPr>
            <w:r w:rsidRPr="00105E93">
              <w:rPr>
                <w:rFonts w:cs="Arial"/>
                <w:szCs w:val="24"/>
              </w:rPr>
              <w:t>0.20</w:t>
            </w:r>
          </w:p>
        </w:tc>
        <w:tc>
          <w:tcPr>
            <w:tcW w:w="1133" w:type="dxa"/>
          </w:tcPr>
          <w:p w14:paraId="189A3837" w14:textId="77777777" w:rsidR="00DC4EA5" w:rsidRPr="00105E93" w:rsidRDefault="00DC4EA5" w:rsidP="001D1040">
            <w:pPr>
              <w:pStyle w:val="BodyText"/>
              <w:rPr>
                <w:rFonts w:cs="Arial"/>
                <w:szCs w:val="24"/>
              </w:rPr>
            </w:pPr>
            <w:r w:rsidRPr="00105E93">
              <w:rPr>
                <w:rFonts w:cs="Arial"/>
                <w:szCs w:val="24"/>
              </w:rPr>
              <w:t>0.40</w:t>
            </w:r>
          </w:p>
        </w:tc>
        <w:tc>
          <w:tcPr>
            <w:tcW w:w="1133" w:type="dxa"/>
          </w:tcPr>
          <w:p w14:paraId="6F6B46E8" w14:textId="77777777" w:rsidR="00DC4EA5" w:rsidRPr="00105E93" w:rsidRDefault="00DC4EA5" w:rsidP="001D1040">
            <w:pPr>
              <w:pStyle w:val="BodyText"/>
              <w:rPr>
                <w:rFonts w:cs="Arial"/>
                <w:szCs w:val="24"/>
              </w:rPr>
            </w:pPr>
            <w:r w:rsidRPr="00105E93">
              <w:rPr>
                <w:rFonts w:cs="Arial"/>
                <w:szCs w:val="24"/>
              </w:rPr>
              <w:t>0.80</w:t>
            </w:r>
          </w:p>
        </w:tc>
        <w:tc>
          <w:tcPr>
            <w:tcW w:w="1133" w:type="dxa"/>
          </w:tcPr>
          <w:p w14:paraId="018C2394" w14:textId="77777777" w:rsidR="00DC4EA5" w:rsidRPr="00105E93" w:rsidRDefault="00DC4EA5" w:rsidP="001D1040">
            <w:pPr>
              <w:pStyle w:val="BodyText"/>
              <w:rPr>
                <w:rFonts w:cs="Arial"/>
                <w:szCs w:val="24"/>
              </w:rPr>
            </w:pPr>
            <w:r w:rsidRPr="00105E93">
              <w:rPr>
                <w:rFonts w:cs="Arial"/>
                <w:szCs w:val="24"/>
              </w:rPr>
              <w:t>0.70</w:t>
            </w:r>
          </w:p>
        </w:tc>
      </w:tr>
      <w:tr w:rsidR="00DC4EA5" w14:paraId="5DBAC215" w14:textId="77777777" w:rsidTr="001D1040">
        <w:tc>
          <w:tcPr>
            <w:tcW w:w="1838" w:type="dxa"/>
          </w:tcPr>
          <w:p w14:paraId="6BF56BFD" w14:textId="77777777" w:rsidR="00DC4EA5" w:rsidRPr="00105E93" w:rsidRDefault="00DC4EA5" w:rsidP="001D1040">
            <w:pPr>
              <w:pStyle w:val="BodyText"/>
              <w:rPr>
                <w:rFonts w:cs="Arial"/>
                <w:szCs w:val="24"/>
              </w:rPr>
            </w:pPr>
            <w:r w:rsidRPr="00105E93">
              <w:rPr>
                <w:rFonts w:cs="Arial"/>
                <w:szCs w:val="24"/>
              </w:rPr>
              <w:t>September 22</w:t>
            </w:r>
          </w:p>
        </w:tc>
        <w:tc>
          <w:tcPr>
            <w:tcW w:w="851" w:type="dxa"/>
          </w:tcPr>
          <w:p w14:paraId="413CCB36" w14:textId="77777777" w:rsidR="00DC4EA5" w:rsidRPr="00105E93" w:rsidRDefault="00DC4EA5" w:rsidP="001D1040">
            <w:pPr>
              <w:pStyle w:val="BodyText"/>
              <w:rPr>
                <w:rFonts w:cs="Arial"/>
                <w:szCs w:val="24"/>
              </w:rPr>
            </w:pPr>
            <w:r w:rsidRPr="00105E93">
              <w:rPr>
                <w:rFonts w:cs="Arial"/>
                <w:szCs w:val="24"/>
              </w:rPr>
              <w:t>0.10</w:t>
            </w:r>
          </w:p>
        </w:tc>
        <w:tc>
          <w:tcPr>
            <w:tcW w:w="1133" w:type="dxa"/>
          </w:tcPr>
          <w:p w14:paraId="544CABA9" w14:textId="77777777" w:rsidR="00DC4EA5" w:rsidRPr="00105E93" w:rsidRDefault="00DC4EA5" w:rsidP="001D1040">
            <w:pPr>
              <w:pStyle w:val="BodyText"/>
              <w:rPr>
                <w:rFonts w:cs="Arial"/>
                <w:szCs w:val="24"/>
              </w:rPr>
            </w:pPr>
            <w:r w:rsidRPr="00105E93">
              <w:rPr>
                <w:rFonts w:cs="Arial"/>
                <w:szCs w:val="24"/>
              </w:rPr>
              <w:t>0.20</w:t>
            </w:r>
          </w:p>
        </w:tc>
        <w:tc>
          <w:tcPr>
            <w:tcW w:w="1135" w:type="dxa"/>
          </w:tcPr>
          <w:p w14:paraId="1C625275" w14:textId="77777777" w:rsidR="00DC4EA5" w:rsidRPr="00105E93" w:rsidRDefault="00DC4EA5" w:rsidP="001D1040">
            <w:pPr>
              <w:pStyle w:val="BodyText"/>
              <w:rPr>
                <w:rFonts w:cs="Arial"/>
                <w:szCs w:val="24"/>
              </w:rPr>
            </w:pPr>
            <w:r w:rsidRPr="00105E93">
              <w:rPr>
                <w:rFonts w:cs="Arial"/>
                <w:szCs w:val="24"/>
              </w:rPr>
              <w:t>0.30</w:t>
            </w:r>
          </w:p>
        </w:tc>
        <w:tc>
          <w:tcPr>
            <w:tcW w:w="1133" w:type="dxa"/>
          </w:tcPr>
          <w:p w14:paraId="030200BD" w14:textId="77777777" w:rsidR="00DC4EA5" w:rsidRPr="00105E93" w:rsidRDefault="00DC4EA5" w:rsidP="001D1040">
            <w:pPr>
              <w:pStyle w:val="BodyText"/>
              <w:rPr>
                <w:rFonts w:cs="Arial"/>
                <w:szCs w:val="24"/>
              </w:rPr>
            </w:pPr>
            <w:r w:rsidRPr="00105E93">
              <w:rPr>
                <w:rFonts w:cs="Arial"/>
                <w:szCs w:val="24"/>
              </w:rPr>
              <w:t>0.20</w:t>
            </w:r>
          </w:p>
        </w:tc>
        <w:tc>
          <w:tcPr>
            <w:tcW w:w="1133" w:type="dxa"/>
          </w:tcPr>
          <w:p w14:paraId="7EE308E8" w14:textId="77777777" w:rsidR="00DC4EA5" w:rsidRPr="00105E93" w:rsidRDefault="00DC4EA5" w:rsidP="001D1040">
            <w:pPr>
              <w:pStyle w:val="BodyText"/>
              <w:rPr>
                <w:rFonts w:cs="Arial"/>
                <w:szCs w:val="24"/>
              </w:rPr>
            </w:pPr>
            <w:r w:rsidRPr="00105E93">
              <w:rPr>
                <w:rFonts w:cs="Arial"/>
                <w:szCs w:val="24"/>
              </w:rPr>
              <w:t>0.45</w:t>
            </w:r>
          </w:p>
        </w:tc>
        <w:tc>
          <w:tcPr>
            <w:tcW w:w="1133" w:type="dxa"/>
          </w:tcPr>
          <w:p w14:paraId="66D9999A" w14:textId="77777777" w:rsidR="00DC4EA5" w:rsidRPr="00105E93" w:rsidRDefault="00DC4EA5" w:rsidP="001D1040">
            <w:pPr>
              <w:pStyle w:val="BodyText"/>
              <w:rPr>
                <w:rFonts w:cs="Arial"/>
                <w:szCs w:val="24"/>
              </w:rPr>
            </w:pPr>
            <w:r w:rsidRPr="00105E93">
              <w:rPr>
                <w:rFonts w:cs="Arial"/>
                <w:szCs w:val="24"/>
              </w:rPr>
              <w:t>0.80</w:t>
            </w:r>
          </w:p>
        </w:tc>
        <w:tc>
          <w:tcPr>
            <w:tcW w:w="1133" w:type="dxa"/>
          </w:tcPr>
          <w:p w14:paraId="44E69A50" w14:textId="77777777" w:rsidR="00DC4EA5" w:rsidRPr="00105E93" w:rsidRDefault="00DC4EA5" w:rsidP="001D1040">
            <w:pPr>
              <w:pStyle w:val="BodyText"/>
              <w:rPr>
                <w:rFonts w:cs="Arial"/>
                <w:szCs w:val="24"/>
              </w:rPr>
            </w:pPr>
            <w:r w:rsidRPr="00105E93">
              <w:rPr>
                <w:rFonts w:cs="Arial"/>
                <w:szCs w:val="24"/>
              </w:rPr>
              <w:t>0.70</w:t>
            </w:r>
          </w:p>
        </w:tc>
      </w:tr>
      <w:tr w:rsidR="00DC4EA5" w14:paraId="58A6E635" w14:textId="77777777" w:rsidTr="001D1040">
        <w:tc>
          <w:tcPr>
            <w:tcW w:w="1838" w:type="dxa"/>
          </w:tcPr>
          <w:p w14:paraId="60B4835B" w14:textId="77777777" w:rsidR="00DC4EA5" w:rsidRPr="00105E93" w:rsidRDefault="00DC4EA5" w:rsidP="001D1040">
            <w:pPr>
              <w:pStyle w:val="BodyText"/>
              <w:rPr>
                <w:rFonts w:cs="Arial"/>
                <w:szCs w:val="24"/>
              </w:rPr>
            </w:pPr>
            <w:r w:rsidRPr="00105E93">
              <w:rPr>
                <w:rFonts w:cs="Arial"/>
                <w:szCs w:val="24"/>
              </w:rPr>
              <w:t>December 22</w:t>
            </w:r>
          </w:p>
        </w:tc>
        <w:tc>
          <w:tcPr>
            <w:tcW w:w="851" w:type="dxa"/>
          </w:tcPr>
          <w:p w14:paraId="08203133" w14:textId="77777777" w:rsidR="00DC4EA5" w:rsidRPr="00105E93" w:rsidRDefault="00DC4EA5" w:rsidP="001D1040">
            <w:pPr>
              <w:pStyle w:val="BodyText"/>
              <w:rPr>
                <w:rFonts w:cs="Arial"/>
                <w:szCs w:val="24"/>
              </w:rPr>
            </w:pPr>
            <w:r w:rsidRPr="00105E93">
              <w:rPr>
                <w:rFonts w:cs="Arial"/>
                <w:szCs w:val="24"/>
              </w:rPr>
              <w:t>0.10</w:t>
            </w:r>
          </w:p>
        </w:tc>
        <w:tc>
          <w:tcPr>
            <w:tcW w:w="1133" w:type="dxa"/>
          </w:tcPr>
          <w:p w14:paraId="560C1DA9" w14:textId="77777777" w:rsidR="00DC4EA5" w:rsidRPr="00105E93" w:rsidRDefault="00DC4EA5" w:rsidP="001D1040">
            <w:pPr>
              <w:pStyle w:val="BodyText"/>
              <w:rPr>
                <w:rFonts w:cs="Arial"/>
                <w:szCs w:val="24"/>
              </w:rPr>
            </w:pPr>
            <w:r w:rsidRPr="00105E93">
              <w:rPr>
                <w:rFonts w:cs="Arial"/>
                <w:szCs w:val="24"/>
              </w:rPr>
              <w:t>0.20</w:t>
            </w:r>
          </w:p>
        </w:tc>
        <w:tc>
          <w:tcPr>
            <w:tcW w:w="1135" w:type="dxa"/>
          </w:tcPr>
          <w:p w14:paraId="29DAB5B6" w14:textId="77777777" w:rsidR="00DC4EA5" w:rsidRPr="00105E93" w:rsidRDefault="00DC4EA5" w:rsidP="001D1040">
            <w:pPr>
              <w:pStyle w:val="BodyText"/>
              <w:rPr>
                <w:rFonts w:cs="Arial"/>
                <w:szCs w:val="24"/>
              </w:rPr>
            </w:pPr>
            <w:r w:rsidRPr="00105E93">
              <w:rPr>
                <w:rFonts w:cs="Arial"/>
                <w:szCs w:val="24"/>
              </w:rPr>
              <w:t>0.30</w:t>
            </w:r>
          </w:p>
        </w:tc>
        <w:tc>
          <w:tcPr>
            <w:tcW w:w="1133" w:type="dxa"/>
          </w:tcPr>
          <w:p w14:paraId="4679CE60" w14:textId="77777777" w:rsidR="00DC4EA5" w:rsidRPr="00105E93" w:rsidRDefault="00DC4EA5" w:rsidP="001D1040">
            <w:pPr>
              <w:pStyle w:val="BodyText"/>
              <w:rPr>
                <w:rFonts w:cs="Arial"/>
                <w:szCs w:val="24"/>
              </w:rPr>
            </w:pPr>
            <w:r w:rsidRPr="00105E93">
              <w:rPr>
                <w:rFonts w:cs="Arial"/>
                <w:szCs w:val="24"/>
              </w:rPr>
              <w:t>0.20</w:t>
            </w:r>
          </w:p>
        </w:tc>
        <w:tc>
          <w:tcPr>
            <w:tcW w:w="1133" w:type="dxa"/>
          </w:tcPr>
          <w:p w14:paraId="49EF08C0" w14:textId="77777777" w:rsidR="00DC4EA5" w:rsidRPr="00105E93" w:rsidRDefault="00DC4EA5" w:rsidP="001D1040">
            <w:pPr>
              <w:pStyle w:val="BodyText"/>
              <w:rPr>
                <w:rFonts w:cs="Arial"/>
                <w:szCs w:val="24"/>
              </w:rPr>
            </w:pPr>
            <w:r w:rsidRPr="00105E93">
              <w:rPr>
                <w:rFonts w:cs="Arial"/>
                <w:szCs w:val="24"/>
              </w:rPr>
              <w:t>0.45</w:t>
            </w:r>
          </w:p>
        </w:tc>
        <w:tc>
          <w:tcPr>
            <w:tcW w:w="1133" w:type="dxa"/>
          </w:tcPr>
          <w:p w14:paraId="722F795A" w14:textId="77777777" w:rsidR="00DC4EA5" w:rsidRPr="00105E93" w:rsidRDefault="00DC4EA5" w:rsidP="001D1040">
            <w:pPr>
              <w:pStyle w:val="BodyText"/>
              <w:rPr>
                <w:rFonts w:cs="Arial"/>
                <w:szCs w:val="24"/>
              </w:rPr>
            </w:pPr>
            <w:r w:rsidRPr="00105E93">
              <w:rPr>
                <w:rFonts w:cs="Arial"/>
                <w:szCs w:val="24"/>
              </w:rPr>
              <w:t>0.85</w:t>
            </w:r>
          </w:p>
        </w:tc>
        <w:tc>
          <w:tcPr>
            <w:tcW w:w="1133" w:type="dxa"/>
          </w:tcPr>
          <w:p w14:paraId="224F561A" w14:textId="77777777" w:rsidR="00DC4EA5" w:rsidRPr="00105E93" w:rsidRDefault="00DC4EA5" w:rsidP="001D1040">
            <w:pPr>
              <w:pStyle w:val="BodyText"/>
              <w:rPr>
                <w:rFonts w:cs="Arial"/>
                <w:szCs w:val="24"/>
              </w:rPr>
            </w:pPr>
            <w:r w:rsidRPr="00105E93">
              <w:rPr>
                <w:rFonts w:cs="Arial"/>
                <w:szCs w:val="24"/>
              </w:rPr>
              <w:t>0.75</w:t>
            </w:r>
          </w:p>
        </w:tc>
      </w:tr>
      <w:tr w:rsidR="00DC4EA5" w14:paraId="137C56E6" w14:textId="77777777" w:rsidTr="001D1040">
        <w:tc>
          <w:tcPr>
            <w:tcW w:w="1838" w:type="dxa"/>
          </w:tcPr>
          <w:p w14:paraId="15DA5307" w14:textId="77777777" w:rsidR="00DC4EA5" w:rsidRPr="00105E93" w:rsidRDefault="00DC4EA5" w:rsidP="001D1040">
            <w:pPr>
              <w:pStyle w:val="BodyText"/>
              <w:rPr>
                <w:rFonts w:cs="Arial"/>
                <w:szCs w:val="24"/>
              </w:rPr>
            </w:pPr>
            <w:r w:rsidRPr="00105E93">
              <w:rPr>
                <w:rFonts w:cs="Arial"/>
                <w:szCs w:val="24"/>
              </w:rPr>
              <w:t>March 23</w:t>
            </w:r>
          </w:p>
        </w:tc>
        <w:tc>
          <w:tcPr>
            <w:tcW w:w="851" w:type="dxa"/>
          </w:tcPr>
          <w:p w14:paraId="73AFE9DD" w14:textId="77777777" w:rsidR="00DC4EA5" w:rsidRPr="00105E93" w:rsidRDefault="00DC4EA5" w:rsidP="001D1040">
            <w:pPr>
              <w:pStyle w:val="BodyText"/>
              <w:rPr>
                <w:rFonts w:cs="Arial"/>
                <w:szCs w:val="24"/>
              </w:rPr>
            </w:pPr>
            <w:r w:rsidRPr="00105E93">
              <w:rPr>
                <w:rFonts w:cs="Arial"/>
                <w:szCs w:val="24"/>
              </w:rPr>
              <w:t>0.10</w:t>
            </w:r>
          </w:p>
        </w:tc>
        <w:tc>
          <w:tcPr>
            <w:tcW w:w="1133" w:type="dxa"/>
          </w:tcPr>
          <w:p w14:paraId="3EABB793" w14:textId="77777777" w:rsidR="00DC4EA5" w:rsidRPr="00105E93" w:rsidRDefault="00DC4EA5" w:rsidP="001D1040">
            <w:pPr>
              <w:pStyle w:val="BodyText"/>
              <w:rPr>
                <w:rFonts w:cs="Arial"/>
                <w:szCs w:val="24"/>
              </w:rPr>
            </w:pPr>
            <w:r w:rsidRPr="00105E93">
              <w:rPr>
                <w:rFonts w:cs="Arial"/>
                <w:szCs w:val="24"/>
              </w:rPr>
              <w:t>0.20</w:t>
            </w:r>
          </w:p>
        </w:tc>
        <w:tc>
          <w:tcPr>
            <w:tcW w:w="1135" w:type="dxa"/>
          </w:tcPr>
          <w:p w14:paraId="5CAE58A5" w14:textId="77777777" w:rsidR="00DC4EA5" w:rsidRPr="00105E93" w:rsidRDefault="00DC4EA5" w:rsidP="001D1040">
            <w:pPr>
              <w:pStyle w:val="BodyText"/>
              <w:rPr>
                <w:rFonts w:cs="Arial"/>
                <w:szCs w:val="24"/>
              </w:rPr>
            </w:pPr>
            <w:r w:rsidRPr="00105E93">
              <w:rPr>
                <w:rFonts w:cs="Arial"/>
                <w:szCs w:val="24"/>
              </w:rPr>
              <w:t>0.30</w:t>
            </w:r>
          </w:p>
        </w:tc>
        <w:tc>
          <w:tcPr>
            <w:tcW w:w="1133" w:type="dxa"/>
          </w:tcPr>
          <w:p w14:paraId="278B8E68" w14:textId="77777777" w:rsidR="00DC4EA5" w:rsidRPr="00105E93" w:rsidRDefault="00DC4EA5" w:rsidP="001D1040">
            <w:pPr>
              <w:pStyle w:val="BodyText"/>
              <w:rPr>
                <w:rFonts w:cs="Arial"/>
                <w:szCs w:val="24"/>
              </w:rPr>
            </w:pPr>
            <w:r w:rsidRPr="00105E93">
              <w:rPr>
                <w:rFonts w:cs="Arial"/>
                <w:szCs w:val="24"/>
              </w:rPr>
              <w:t>0.25</w:t>
            </w:r>
          </w:p>
        </w:tc>
        <w:tc>
          <w:tcPr>
            <w:tcW w:w="1133" w:type="dxa"/>
          </w:tcPr>
          <w:p w14:paraId="2FE2E4CE" w14:textId="77777777" w:rsidR="00DC4EA5" w:rsidRPr="00105E93" w:rsidRDefault="00DC4EA5" w:rsidP="001D1040">
            <w:pPr>
              <w:pStyle w:val="BodyText"/>
              <w:rPr>
                <w:rFonts w:cs="Arial"/>
                <w:szCs w:val="24"/>
              </w:rPr>
            </w:pPr>
            <w:r w:rsidRPr="00105E93">
              <w:rPr>
                <w:rFonts w:cs="Arial"/>
                <w:szCs w:val="24"/>
              </w:rPr>
              <w:t>0.50</w:t>
            </w:r>
          </w:p>
        </w:tc>
        <w:tc>
          <w:tcPr>
            <w:tcW w:w="1133" w:type="dxa"/>
          </w:tcPr>
          <w:p w14:paraId="2E706F14" w14:textId="77777777" w:rsidR="00DC4EA5" w:rsidRPr="00105E93" w:rsidRDefault="00DC4EA5" w:rsidP="001D1040">
            <w:pPr>
              <w:pStyle w:val="BodyText"/>
              <w:rPr>
                <w:rFonts w:cs="Arial"/>
                <w:szCs w:val="24"/>
              </w:rPr>
            </w:pPr>
            <w:r w:rsidRPr="00105E93">
              <w:rPr>
                <w:rFonts w:cs="Arial"/>
                <w:szCs w:val="24"/>
              </w:rPr>
              <w:t>0.85</w:t>
            </w:r>
          </w:p>
        </w:tc>
        <w:tc>
          <w:tcPr>
            <w:tcW w:w="1133" w:type="dxa"/>
          </w:tcPr>
          <w:p w14:paraId="2A622D9B" w14:textId="77777777" w:rsidR="00DC4EA5" w:rsidRPr="00105E93" w:rsidRDefault="00DC4EA5" w:rsidP="001D1040">
            <w:pPr>
              <w:pStyle w:val="BodyText"/>
              <w:rPr>
                <w:rFonts w:cs="Arial"/>
                <w:szCs w:val="24"/>
              </w:rPr>
            </w:pPr>
            <w:r w:rsidRPr="00105E93">
              <w:rPr>
                <w:rFonts w:cs="Arial"/>
                <w:szCs w:val="24"/>
              </w:rPr>
              <w:t>0.75</w:t>
            </w:r>
          </w:p>
        </w:tc>
      </w:tr>
      <w:tr w:rsidR="00DC4EA5" w14:paraId="7BCFF72E" w14:textId="77777777" w:rsidTr="001D1040">
        <w:tc>
          <w:tcPr>
            <w:tcW w:w="1838" w:type="dxa"/>
          </w:tcPr>
          <w:p w14:paraId="241E62E3" w14:textId="77777777" w:rsidR="00DC4EA5" w:rsidRPr="00105E93" w:rsidRDefault="00DC4EA5" w:rsidP="001D1040">
            <w:pPr>
              <w:pStyle w:val="BodyText"/>
              <w:rPr>
                <w:rFonts w:cs="Arial"/>
                <w:szCs w:val="24"/>
              </w:rPr>
            </w:pPr>
            <w:r w:rsidRPr="00105E93">
              <w:rPr>
                <w:rFonts w:cs="Arial"/>
                <w:szCs w:val="24"/>
              </w:rPr>
              <w:t>June 23</w:t>
            </w:r>
          </w:p>
        </w:tc>
        <w:tc>
          <w:tcPr>
            <w:tcW w:w="851" w:type="dxa"/>
          </w:tcPr>
          <w:p w14:paraId="3CC4742F" w14:textId="77777777" w:rsidR="00DC4EA5" w:rsidRPr="00105E93" w:rsidRDefault="00DC4EA5" w:rsidP="001D1040">
            <w:pPr>
              <w:pStyle w:val="BodyText"/>
              <w:rPr>
                <w:rFonts w:cs="Arial"/>
                <w:szCs w:val="24"/>
              </w:rPr>
            </w:pPr>
            <w:r w:rsidRPr="00105E93">
              <w:rPr>
                <w:rFonts w:cs="Arial"/>
                <w:szCs w:val="24"/>
              </w:rPr>
              <w:t>0.10</w:t>
            </w:r>
          </w:p>
        </w:tc>
        <w:tc>
          <w:tcPr>
            <w:tcW w:w="1133" w:type="dxa"/>
          </w:tcPr>
          <w:p w14:paraId="57AA011F" w14:textId="77777777" w:rsidR="00DC4EA5" w:rsidRPr="00105E93" w:rsidRDefault="00DC4EA5" w:rsidP="001D1040">
            <w:pPr>
              <w:pStyle w:val="BodyText"/>
              <w:rPr>
                <w:rFonts w:cs="Arial"/>
                <w:szCs w:val="24"/>
              </w:rPr>
            </w:pPr>
            <w:r w:rsidRPr="00105E93">
              <w:rPr>
                <w:rFonts w:cs="Arial"/>
                <w:szCs w:val="24"/>
              </w:rPr>
              <w:t>0.20</w:t>
            </w:r>
          </w:p>
        </w:tc>
        <w:tc>
          <w:tcPr>
            <w:tcW w:w="1135" w:type="dxa"/>
          </w:tcPr>
          <w:p w14:paraId="2FF9D821" w14:textId="77777777" w:rsidR="00DC4EA5" w:rsidRPr="00105E93" w:rsidRDefault="00DC4EA5" w:rsidP="001D1040">
            <w:pPr>
              <w:pStyle w:val="BodyText"/>
              <w:rPr>
                <w:rFonts w:cs="Arial"/>
                <w:szCs w:val="24"/>
              </w:rPr>
            </w:pPr>
            <w:r w:rsidRPr="00105E93">
              <w:rPr>
                <w:rFonts w:cs="Arial"/>
                <w:szCs w:val="24"/>
              </w:rPr>
              <w:t>0.30</w:t>
            </w:r>
          </w:p>
        </w:tc>
        <w:tc>
          <w:tcPr>
            <w:tcW w:w="1133" w:type="dxa"/>
          </w:tcPr>
          <w:p w14:paraId="1EE549F9" w14:textId="77777777" w:rsidR="00DC4EA5" w:rsidRPr="00105E93" w:rsidRDefault="00DC4EA5" w:rsidP="001D1040">
            <w:pPr>
              <w:pStyle w:val="BodyText"/>
              <w:rPr>
                <w:rFonts w:cs="Arial"/>
                <w:szCs w:val="24"/>
              </w:rPr>
            </w:pPr>
            <w:r w:rsidRPr="00105E93">
              <w:rPr>
                <w:rFonts w:cs="Arial"/>
                <w:szCs w:val="24"/>
              </w:rPr>
              <w:t>0.25</w:t>
            </w:r>
          </w:p>
        </w:tc>
        <w:tc>
          <w:tcPr>
            <w:tcW w:w="1133" w:type="dxa"/>
          </w:tcPr>
          <w:p w14:paraId="5D53A315" w14:textId="77777777" w:rsidR="00DC4EA5" w:rsidRPr="00105E93" w:rsidRDefault="00DC4EA5" w:rsidP="001D1040">
            <w:pPr>
              <w:pStyle w:val="BodyText"/>
              <w:rPr>
                <w:rFonts w:cs="Arial"/>
                <w:szCs w:val="24"/>
              </w:rPr>
            </w:pPr>
            <w:r w:rsidRPr="00105E93">
              <w:rPr>
                <w:rFonts w:cs="Arial"/>
                <w:szCs w:val="24"/>
              </w:rPr>
              <w:t>0.55</w:t>
            </w:r>
          </w:p>
        </w:tc>
        <w:tc>
          <w:tcPr>
            <w:tcW w:w="1133" w:type="dxa"/>
          </w:tcPr>
          <w:p w14:paraId="6CA43D5C" w14:textId="77777777" w:rsidR="00DC4EA5" w:rsidRPr="00105E93" w:rsidRDefault="00DC4EA5" w:rsidP="001D1040">
            <w:pPr>
              <w:pStyle w:val="BodyText"/>
              <w:rPr>
                <w:rFonts w:cs="Arial"/>
                <w:szCs w:val="24"/>
              </w:rPr>
            </w:pPr>
            <w:r w:rsidRPr="00105E93">
              <w:rPr>
                <w:rFonts w:cs="Arial"/>
                <w:szCs w:val="24"/>
              </w:rPr>
              <w:t>0.85</w:t>
            </w:r>
          </w:p>
        </w:tc>
        <w:tc>
          <w:tcPr>
            <w:tcW w:w="1133" w:type="dxa"/>
          </w:tcPr>
          <w:p w14:paraId="73D2DF5D" w14:textId="77777777" w:rsidR="00DC4EA5" w:rsidRPr="00105E93" w:rsidRDefault="00DC4EA5" w:rsidP="001D1040">
            <w:pPr>
              <w:pStyle w:val="BodyText"/>
              <w:rPr>
                <w:rFonts w:cs="Arial"/>
                <w:szCs w:val="24"/>
              </w:rPr>
            </w:pPr>
            <w:r w:rsidRPr="00105E93">
              <w:rPr>
                <w:rFonts w:cs="Arial"/>
                <w:szCs w:val="24"/>
              </w:rPr>
              <w:t>0.75</w:t>
            </w:r>
          </w:p>
        </w:tc>
      </w:tr>
      <w:tr w:rsidR="00DC4EA5" w14:paraId="162571A4" w14:textId="77777777" w:rsidTr="001D1040">
        <w:tc>
          <w:tcPr>
            <w:tcW w:w="1838" w:type="dxa"/>
          </w:tcPr>
          <w:p w14:paraId="744A9E69" w14:textId="77777777" w:rsidR="00DC4EA5" w:rsidRPr="00105E93" w:rsidRDefault="00DC4EA5" w:rsidP="001D1040">
            <w:pPr>
              <w:pStyle w:val="BodyText"/>
              <w:rPr>
                <w:rFonts w:cs="Arial"/>
                <w:szCs w:val="24"/>
              </w:rPr>
            </w:pPr>
            <w:r w:rsidRPr="00105E93">
              <w:rPr>
                <w:rFonts w:cs="Arial"/>
                <w:szCs w:val="24"/>
              </w:rPr>
              <w:t>September 23</w:t>
            </w:r>
          </w:p>
        </w:tc>
        <w:tc>
          <w:tcPr>
            <w:tcW w:w="851" w:type="dxa"/>
          </w:tcPr>
          <w:p w14:paraId="6DAC2857" w14:textId="77777777" w:rsidR="00DC4EA5" w:rsidRPr="00105E93" w:rsidRDefault="00DC4EA5" w:rsidP="001D1040">
            <w:pPr>
              <w:pStyle w:val="BodyText"/>
              <w:rPr>
                <w:rFonts w:cs="Arial"/>
                <w:szCs w:val="24"/>
              </w:rPr>
            </w:pPr>
            <w:r w:rsidRPr="00105E93">
              <w:rPr>
                <w:rFonts w:cs="Arial"/>
                <w:szCs w:val="24"/>
              </w:rPr>
              <w:t>0.10</w:t>
            </w:r>
          </w:p>
        </w:tc>
        <w:tc>
          <w:tcPr>
            <w:tcW w:w="1133" w:type="dxa"/>
          </w:tcPr>
          <w:p w14:paraId="009477BD" w14:textId="77777777" w:rsidR="00DC4EA5" w:rsidRPr="00105E93" w:rsidRDefault="00DC4EA5" w:rsidP="001D1040">
            <w:pPr>
              <w:pStyle w:val="BodyText"/>
              <w:rPr>
                <w:rFonts w:cs="Arial"/>
                <w:szCs w:val="24"/>
              </w:rPr>
            </w:pPr>
            <w:r w:rsidRPr="00105E93">
              <w:rPr>
                <w:rFonts w:cs="Arial"/>
                <w:szCs w:val="24"/>
              </w:rPr>
              <w:t>0.20</w:t>
            </w:r>
          </w:p>
        </w:tc>
        <w:tc>
          <w:tcPr>
            <w:tcW w:w="1135" w:type="dxa"/>
          </w:tcPr>
          <w:p w14:paraId="5AC230F3" w14:textId="77777777" w:rsidR="00DC4EA5" w:rsidRPr="00105E93" w:rsidRDefault="00DC4EA5" w:rsidP="001D1040">
            <w:pPr>
              <w:pStyle w:val="BodyText"/>
              <w:rPr>
                <w:rFonts w:cs="Arial"/>
                <w:szCs w:val="24"/>
              </w:rPr>
            </w:pPr>
            <w:r w:rsidRPr="00105E93">
              <w:rPr>
                <w:rFonts w:cs="Arial"/>
                <w:szCs w:val="24"/>
              </w:rPr>
              <w:t>0.30</w:t>
            </w:r>
          </w:p>
        </w:tc>
        <w:tc>
          <w:tcPr>
            <w:tcW w:w="1133" w:type="dxa"/>
          </w:tcPr>
          <w:p w14:paraId="66DCC952" w14:textId="77777777" w:rsidR="00DC4EA5" w:rsidRPr="00105E93" w:rsidRDefault="00DC4EA5" w:rsidP="001D1040">
            <w:pPr>
              <w:pStyle w:val="BodyText"/>
              <w:rPr>
                <w:rFonts w:cs="Arial"/>
                <w:szCs w:val="24"/>
              </w:rPr>
            </w:pPr>
            <w:r w:rsidRPr="00105E93">
              <w:rPr>
                <w:rFonts w:cs="Arial"/>
                <w:szCs w:val="24"/>
              </w:rPr>
              <w:t>0.25</w:t>
            </w:r>
          </w:p>
        </w:tc>
        <w:tc>
          <w:tcPr>
            <w:tcW w:w="1133" w:type="dxa"/>
          </w:tcPr>
          <w:p w14:paraId="3F243B6F" w14:textId="77777777" w:rsidR="00DC4EA5" w:rsidRPr="00105E93" w:rsidRDefault="00DC4EA5" w:rsidP="001D1040">
            <w:pPr>
              <w:pStyle w:val="BodyText"/>
              <w:rPr>
                <w:rFonts w:cs="Arial"/>
                <w:szCs w:val="24"/>
              </w:rPr>
            </w:pPr>
            <w:r w:rsidRPr="00105E93">
              <w:rPr>
                <w:rFonts w:cs="Arial"/>
                <w:szCs w:val="24"/>
              </w:rPr>
              <w:t>0.55</w:t>
            </w:r>
          </w:p>
        </w:tc>
        <w:tc>
          <w:tcPr>
            <w:tcW w:w="1133" w:type="dxa"/>
          </w:tcPr>
          <w:p w14:paraId="6C08F9B2" w14:textId="77777777" w:rsidR="00DC4EA5" w:rsidRPr="00105E93" w:rsidRDefault="00DC4EA5" w:rsidP="001D1040">
            <w:pPr>
              <w:pStyle w:val="BodyText"/>
              <w:rPr>
                <w:rFonts w:cs="Arial"/>
                <w:szCs w:val="24"/>
              </w:rPr>
            </w:pPr>
            <w:r w:rsidRPr="00105E93">
              <w:rPr>
                <w:rFonts w:cs="Arial"/>
                <w:szCs w:val="24"/>
              </w:rPr>
              <w:t>0.85</w:t>
            </w:r>
          </w:p>
        </w:tc>
        <w:tc>
          <w:tcPr>
            <w:tcW w:w="1133" w:type="dxa"/>
          </w:tcPr>
          <w:p w14:paraId="2F6022D7" w14:textId="77777777" w:rsidR="00DC4EA5" w:rsidRPr="00105E93" w:rsidRDefault="00DC4EA5" w:rsidP="001D1040">
            <w:pPr>
              <w:pStyle w:val="BodyText"/>
              <w:rPr>
                <w:rFonts w:cs="Arial"/>
                <w:szCs w:val="24"/>
              </w:rPr>
            </w:pPr>
            <w:r w:rsidRPr="00105E93">
              <w:rPr>
                <w:rFonts w:cs="Arial"/>
                <w:szCs w:val="24"/>
              </w:rPr>
              <w:t>0.75</w:t>
            </w:r>
          </w:p>
        </w:tc>
      </w:tr>
      <w:tr w:rsidR="00DC4EA5" w14:paraId="56A26DF8" w14:textId="77777777" w:rsidTr="001D1040">
        <w:tc>
          <w:tcPr>
            <w:tcW w:w="1838" w:type="dxa"/>
          </w:tcPr>
          <w:p w14:paraId="35856AC2" w14:textId="77777777" w:rsidR="00DC4EA5" w:rsidRPr="00105E93" w:rsidRDefault="00DC4EA5" w:rsidP="001D1040">
            <w:pPr>
              <w:pStyle w:val="BodyText"/>
              <w:rPr>
                <w:rFonts w:cs="Arial"/>
                <w:szCs w:val="24"/>
              </w:rPr>
            </w:pPr>
            <w:r w:rsidRPr="00105E93">
              <w:rPr>
                <w:rFonts w:cs="Arial"/>
                <w:szCs w:val="24"/>
              </w:rPr>
              <w:t>December 23</w:t>
            </w:r>
          </w:p>
        </w:tc>
        <w:tc>
          <w:tcPr>
            <w:tcW w:w="851" w:type="dxa"/>
          </w:tcPr>
          <w:p w14:paraId="5A5D6792" w14:textId="77777777" w:rsidR="00DC4EA5" w:rsidRPr="00105E93" w:rsidRDefault="00DC4EA5" w:rsidP="001D1040">
            <w:pPr>
              <w:pStyle w:val="BodyText"/>
              <w:rPr>
                <w:rFonts w:cs="Arial"/>
                <w:szCs w:val="24"/>
              </w:rPr>
            </w:pPr>
            <w:r w:rsidRPr="00105E93">
              <w:rPr>
                <w:rFonts w:cs="Arial"/>
                <w:szCs w:val="24"/>
              </w:rPr>
              <w:t>0.10</w:t>
            </w:r>
          </w:p>
        </w:tc>
        <w:tc>
          <w:tcPr>
            <w:tcW w:w="1133" w:type="dxa"/>
          </w:tcPr>
          <w:p w14:paraId="4C5B36BD" w14:textId="77777777" w:rsidR="00DC4EA5" w:rsidRPr="00105E93" w:rsidRDefault="00DC4EA5" w:rsidP="001D1040">
            <w:pPr>
              <w:pStyle w:val="BodyText"/>
              <w:rPr>
                <w:rFonts w:cs="Arial"/>
                <w:szCs w:val="24"/>
              </w:rPr>
            </w:pPr>
            <w:r w:rsidRPr="00105E93">
              <w:rPr>
                <w:rFonts w:cs="Arial"/>
                <w:szCs w:val="24"/>
              </w:rPr>
              <w:t>0.20</w:t>
            </w:r>
          </w:p>
        </w:tc>
        <w:tc>
          <w:tcPr>
            <w:tcW w:w="1135" w:type="dxa"/>
          </w:tcPr>
          <w:p w14:paraId="624FBD4F" w14:textId="77777777" w:rsidR="00DC4EA5" w:rsidRPr="00105E93" w:rsidRDefault="00DC4EA5" w:rsidP="001D1040">
            <w:pPr>
              <w:pStyle w:val="BodyText"/>
              <w:rPr>
                <w:rFonts w:cs="Arial"/>
                <w:szCs w:val="24"/>
              </w:rPr>
            </w:pPr>
            <w:r w:rsidRPr="00105E93">
              <w:rPr>
                <w:rFonts w:cs="Arial"/>
                <w:szCs w:val="24"/>
              </w:rPr>
              <w:t>0.30</w:t>
            </w:r>
          </w:p>
        </w:tc>
        <w:tc>
          <w:tcPr>
            <w:tcW w:w="1133" w:type="dxa"/>
          </w:tcPr>
          <w:p w14:paraId="281E78EF" w14:textId="77777777" w:rsidR="00DC4EA5" w:rsidRPr="00105E93" w:rsidRDefault="00DC4EA5" w:rsidP="001D1040">
            <w:pPr>
              <w:pStyle w:val="BodyText"/>
              <w:rPr>
                <w:rFonts w:cs="Arial"/>
                <w:szCs w:val="24"/>
              </w:rPr>
            </w:pPr>
            <w:r w:rsidRPr="00105E93">
              <w:rPr>
                <w:rFonts w:cs="Arial"/>
                <w:szCs w:val="24"/>
              </w:rPr>
              <w:t>0.25</w:t>
            </w:r>
          </w:p>
        </w:tc>
        <w:tc>
          <w:tcPr>
            <w:tcW w:w="1133" w:type="dxa"/>
          </w:tcPr>
          <w:p w14:paraId="34123E9E" w14:textId="77777777" w:rsidR="00DC4EA5" w:rsidRPr="00105E93" w:rsidRDefault="00DC4EA5" w:rsidP="001D1040">
            <w:pPr>
              <w:pStyle w:val="BodyText"/>
              <w:rPr>
                <w:rFonts w:cs="Arial"/>
                <w:szCs w:val="24"/>
              </w:rPr>
            </w:pPr>
            <w:r w:rsidRPr="00105E93">
              <w:rPr>
                <w:rFonts w:cs="Arial"/>
                <w:szCs w:val="24"/>
              </w:rPr>
              <w:t>0.55</w:t>
            </w:r>
          </w:p>
        </w:tc>
        <w:tc>
          <w:tcPr>
            <w:tcW w:w="1133" w:type="dxa"/>
          </w:tcPr>
          <w:p w14:paraId="3AF90C6A" w14:textId="77777777" w:rsidR="00DC4EA5" w:rsidRPr="00105E93" w:rsidRDefault="00DC4EA5" w:rsidP="001D1040">
            <w:pPr>
              <w:pStyle w:val="BodyText"/>
              <w:rPr>
                <w:rFonts w:cs="Arial"/>
                <w:szCs w:val="24"/>
              </w:rPr>
            </w:pPr>
            <w:r w:rsidRPr="00105E93">
              <w:rPr>
                <w:rFonts w:cs="Arial"/>
                <w:szCs w:val="24"/>
              </w:rPr>
              <w:t>0.90</w:t>
            </w:r>
          </w:p>
        </w:tc>
        <w:tc>
          <w:tcPr>
            <w:tcW w:w="1133" w:type="dxa"/>
          </w:tcPr>
          <w:p w14:paraId="7F5E1040" w14:textId="77777777" w:rsidR="00DC4EA5" w:rsidRPr="00105E93" w:rsidRDefault="00DC4EA5" w:rsidP="001D1040">
            <w:pPr>
              <w:pStyle w:val="BodyText"/>
              <w:rPr>
                <w:rFonts w:cs="Arial"/>
                <w:szCs w:val="24"/>
              </w:rPr>
            </w:pPr>
            <w:r w:rsidRPr="00105E93">
              <w:rPr>
                <w:rFonts w:cs="Arial"/>
                <w:szCs w:val="24"/>
              </w:rPr>
              <w:t>0.80</w:t>
            </w:r>
          </w:p>
        </w:tc>
      </w:tr>
      <w:tr w:rsidR="00DC4EA5" w14:paraId="64B0FDB4" w14:textId="77777777" w:rsidTr="001D1040">
        <w:tc>
          <w:tcPr>
            <w:tcW w:w="1838" w:type="dxa"/>
          </w:tcPr>
          <w:p w14:paraId="3061B3B6" w14:textId="77777777" w:rsidR="00DC4EA5" w:rsidRPr="00105E93" w:rsidRDefault="00DC4EA5" w:rsidP="001D1040">
            <w:pPr>
              <w:pStyle w:val="BodyText"/>
              <w:rPr>
                <w:rFonts w:cs="Arial"/>
                <w:szCs w:val="24"/>
              </w:rPr>
            </w:pPr>
            <w:r w:rsidRPr="00105E93">
              <w:rPr>
                <w:rFonts w:cs="Arial"/>
                <w:szCs w:val="24"/>
              </w:rPr>
              <w:t>March 24</w:t>
            </w:r>
          </w:p>
        </w:tc>
        <w:tc>
          <w:tcPr>
            <w:tcW w:w="851" w:type="dxa"/>
          </w:tcPr>
          <w:p w14:paraId="2F38272F" w14:textId="77777777" w:rsidR="00DC4EA5" w:rsidRPr="00105E93" w:rsidDel="00CC2F2C" w:rsidRDefault="00DC4EA5" w:rsidP="001D1040">
            <w:pPr>
              <w:pStyle w:val="BodyText"/>
              <w:rPr>
                <w:rFonts w:cs="Arial"/>
                <w:szCs w:val="24"/>
              </w:rPr>
            </w:pPr>
            <w:r w:rsidRPr="00105E93">
              <w:rPr>
                <w:rFonts w:cs="Arial"/>
                <w:szCs w:val="24"/>
              </w:rPr>
              <w:t>0.10</w:t>
            </w:r>
          </w:p>
        </w:tc>
        <w:tc>
          <w:tcPr>
            <w:tcW w:w="1133" w:type="dxa"/>
          </w:tcPr>
          <w:p w14:paraId="1843F64A" w14:textId="77777777" w:rsidR="00DC4EA5" w:rsidRPr="00105E93" w:rsidDel="00CC2F2C" w:rsidRDefault="00DC4EA5" w:rsidP="001D1040">
            <w:pPr>
              <w:pStyle w:val="BodyText"/>
              <w:rPr>
                <w:rFonts w:cs="Arial"/>
                <w:szCs w:val="24"/>
              </w:rPr>
            </w:pPr>
            <w:r w:rsidRPr="00105E93">
              <w:rPr>
                <w:rFonts w:cs="Arial"/>
                <w:szCs w:val="24"/>
              </w:rPr>
              <w:t>0.20</w:t>
            </w:r>
          </w:p>
        </w:tc>
        <w:tc>
          <w:tcPr>
            <w:tcW w:w="1135" w:type="dxa"/>
          </w:tcPr>
          <w:p w14:paraId="024C41EA" w14:textId="77777777" w:rsidR="00DC4EA5" w:rsidRPr="00105E93" w:rsidDel="00CC2F2C" w:rsidRDefault="00DC4EA5" w:rsidP="001D1040">
            <w:pPr>
              <w:pStyle w:val="BodyText"/>
              <w:rPr>
                <w:rFonts w:cs="Arial"/>
                <w:szCs w:val="24"/>
              </w:rPr>
            </w:pPr>
            <w:r w:rsidRPr="00105E93">
              <w:rPr>
                <w:rFonts w:cs="Arial"/>
                <w:szCs w:val="24"/>
              </w:rPr>
              <w:t>0.30</w:t>
            </w:r>
          </w:p>
        </w:tc>
        <w:tc>
          <w:tcPr>
            <w:tcW w:w="1133" w:type="dxa"/>
          </w:tcPr>
          <w:p w14:paraId="428956FE" w14:textId="77777777" w:rsidR="00DC4EA5" w:rsidRPr="00105E93" w:rsidDel="00CC2F2C" w:rsidRDefault="00DC4EA5" w:rsidP="001D1040">
            <w:pPr>
              <w:pStyle w:val="BodyText"/>
              <w:rPr>
                <w:rFonts w:cs="Arial"/>
                <w:szCs w:val="24"/>
              </w:rPr>
            </w:pPr>
            <w:r w:rsidRPr="00105E93">
              <w:rPr>
                <w:rFonts w:cs="Arial"/>
                <w:szCs w:val="24"/>
              </w:rPr>
              <w:t>0.25</w:t>
            </w:r>
          </w:p>
        </w:tc>
        <w:tc>
          <w:tcPr>
            <w:tcW w:w="1133" w:type="dxa"/>
          </w:tcPr>
          <w:p w14:paraId="29DB35D4" w14:textId="77777777" w:rsidR="00DC4EA5" w:rsidRPr="00105E93" w:rsidDel="00CC2F2C" w:rsidRDefault="00DC4EA5" w:rsidP="001D1040">
            <w:pPr>
              <w:pStyle w:val="BodyText"/>
              <w:rPr>
                <w:rFonts w:cs="Arial"/>
                <w:szCs w:val="24"/>
              </w:rPr>
            </w:pPr>
            <w:r w:rsidRPr="00105E93">
              <w:rPr>
                <w:rFonts w:cs="Arial"/>
                <w:szCs w:val="24"/>
              </w:rPr>
              <w:t>0.60</w:t>
            </w:r>
          </w:p>
        </w:tc>
        <w:tc>
          <w:tcPr>
            <w:tcW w:w="1133" w:type="dxa"/>
          </w:tcPr>
          <w:p w14:paraId="59ACD18B" w14:textId="77777777" w:rsidR="00DC4EA5" w:rsidRPr="00105E93" w:rsidDel="00CC2F2C" w:rsidRDefault="00DC4EA5" w:rsidP="001D1040">
            <w:pPr>
              <w:pStyle w:val="BodyText"/>
              <w:rPr>
                <w:rFonts w:cs="Arial"/>
                <w:szCs w:val="24"/>
              </w:rPr>
            </w:pPr>
            <w:r w:rsidRPr="00105E93">
              <w:rPr>
                <w:rFonts w:cs="Arial"/>
                <w:szCs w:val="24"/>
              </w:rPr>
              <w:t>0.90</w:t>
            </w:r>
          </w:p>
        </w:tc>
        <w:tc>
          <w:tcPr>
            <w:tcW w:w="1133" w:type="dxa"/>
          </w:tcPr>
          <w:p w14:paraId="55EF9EEE" w14:textId="77777777" w:rsidR="00DC4EA5" w:rsidRPr="00105E93" w:rsidDel="00CC2F2C" w:rsidRDefault="00DC4EA5" w:rsidP="001D1040">
            <w:pPr>
              <w:pStyle w:val="BodyText"/>
              <w:rPr>
                <w:rFonts w:cs="Arial"/>
                <w:szCs w:val="24"/>
              </w:rPr>
            </w:pPr>
            <w:r w:rsidRPr="00105E93">
              <w:rPr>
                <w:rFonts w:cs="Arial"/>
                <w:szCs w:val="24"/>
              </w:rPr>
              <w:t>0.80</w:t>
            </w:r>
          </w:p>
        </w:tc>
      </w:tr>
    </w:tbl>
    <w:p w14:paraId="7501DC25" w14:textId="77777777" w:rsidR="00DC4EA5" w:rsidRDefault="00DC4EA5" w:rsidP="00DC4EA5">
      <w:pPr>
        <w:pStyle w:val="BodyText"/>
        <w:jc w:val="both"/>
        <w:rPr>
          <w:rFonts w:cs="Arial"/>
          <w:szCs w:val="24"/>
        </w:rPr>
      </w:pPr>
    </w:p>
    <w:p w14:paraId="63677E03" w14:textId="29523B4C" w:rsidR="00DC4EA5" w:rsidRPr="00184744" w:rsidRDefault="00DC4EA5" w:rsidP="00DC4EA5">
      <w:pPr>
        <w:pStyle w:val="BodyText"/>
        <w:jc w:val="both"/>
        <w:rPr>
          <w:rFonts w:cs="Arial"/>
          <w:szCs w:val="24"/>
        </w:rPr>
      </w:pPr>
      <w:r w:rsidRPr="00184744">
        <w:rPr>
          <w:rFonts w:cs="Arial"/>
          <w:szCs w:val="24"/>
        </w:rPr>
        <w:t xml:space="preserve">In the above table 'bank rate' refers to the policy rate of the Bank of England. PWLB borrowing rates are based on 'Gilt Yield' and so this is a forecast of </w:t>
      </w:r>
      <w:r w:rsidR="00EE76B8" w:rsidRPr="00184744">
        <w:rPr>
          <w:rFonts w:cs="Arial"/>
          <w:szCs w:val="24"/>
        </w:rPr>
        <w:t>long-term</w:t>
      </w:r>
      <w:r w:rsidRPr="00184744">
        <w:rPr>
          <w:rFonts w:cs="Arial"/>
          <w:szCs w:val="24"/>
        </w:rPr>
        <w:t xml:space="preserve"> interest rates. The </w:t>
      </w:r>
      <w:r>
        <w:rPr>
          <w:rFonts w:cs="Arial"/>
          <w:szCs w:val="24"/>
        </w:rPr>
        <w:t>Authority</w:t>
      </w:r>
      <w:r w:rsidRPr="00184744">
        <w:rPr>
          <w:rFonts w:cs="Arial"/>
          <w:szCs w:val="24"/>
        </w:rPr>
        <w:t xml:space="preserve"> can borrow at 80 basis points above the gilt yield, so for example </w:t>
      </w:r>
      <w:r>
        <w:rPr>
          <w:rFonts w:cs="Arial"/>
          <w:szCs w:val="24"/>
        </w:rPr>
        <w:t>a</w:t>
      </w:r>
      <w:r w:rsidRPr="00184744">
        <w:rPr>
          <w:rFonts w:cs="Arial"/>
          <w:szCs w:val="24"/>
        </w:rPr>
        <w:t xml:space="preserve"> fixed interest rate to borrow PWLB money for 10 years wou</w:t>
      </w:r>
      <w:r>
        <w:rPr>
          <w:rFonts w:cs="Arial"/>
          <w:szCs w:val="24"/>
        </w:rPr>
        <w:t>ld be 1.05</w:t>
      </w:r>
      <w:r w:rsidRPr="00227CDD">
        <w:rPr>
          <w:rFonts w:cs="Arial"/>
          <w:szCs w:val="24"/>
        </w:rPr>
        <w:t>%,</w:t>
      </w:r>
      <w:r>
        <w:rPr>
          <w:rFonts w:cs="Arial"/>
          <w:szCs w:val="24"/>
        </w:rPr>
        <w:t xml:space="preserve"> 0.25</w:t>
      </w:r>
      <w:r w:rsidRPr="00227CDD">
        <w:rPr>
          <w:rFonts w:cs="Arial"/>
          <w:szCs w:val="24"/>
        </w:rPr>
        <w:t xml:space="preserve">% plus </w:t>
      </w:r>
      <w:r>
        <w:rPr>
          <w:rFonts w:cs="Arial"/>
          <w:szCs w:val="24"/>
        </w:rPr>
        <w:t>0</w:t>
      </w:r>
      <w:r w:rsidRPr="00227CDD">
        <w:rPr>
          <w:rFonts w:cs="Arial"/>
          <w:szCs w:val="24"/>
        </w:rPr>
        <w:t>.80%.</w:t>
      </w:r>
    </w:p>
    <w:p w14:paraId="1420539F" w14:textId="77777777" w:rsidR="00DC4EA5" w:rsidRPr="0052569D" w:rsidRDefault="00DC4EA5" w:rsidP="00F81A12">
      <w:pPr>
        <w:pStyle w:val="BodyText"/>
        <w:rPr>
          <w:rFonts w:cs="Arial"/>
          <w:szCs w:val="24"/>
          <w:highlight w:val="yellow"/>
        </w:rPr>
      </w:pPr>
    </w:p>
    <w:p w14:paraId="20458836" w14:textId="77777777" w:rsidR="00F81A12" w:rsidRPr="0052569D" w:rsidRDefault="00F81A12" w:rsidP="00F81A12">
      <w:pPr>
        <w:pStyle w:val="BodyText"/>
        <w:rPr>
          <w:rFonts w:cs="Arial"/>
          <w:sz w:val="22"/>
          <w:szCs w:val="22"/>
          <w:highlight w:val="yellow"/>
        </w:rPr>
      </w:pPr>
    </w:p>
    <w:p w14:paraId="268730B2" w14:textId="77777777" w:rsidR="00F81A12" w:rsidRPr="0052569D" w:rsidRDefault="00F81A12" w:rsidP="00F81A12">
      <w:pPr>
        <w:pStyle w:val="BodyText"/>
        <w:rPr>
          <w:rFonts w:cs="Arial"/>
          <w:sz w:val="22"/>
          <w:szCs w:val="22"/>
          <w:highlight w:val="yellow"/>
        </w:rPr>
      </w:pPr>
    </w:p>
    <w:p w14:paraId="4CCF5434" w14:textId="3BAA9B67" w:rsidR="00B8149C" w:rsidRPr="003B2FEF" w:rsidRDefault="00D14A13" w:rsidP="00B8149C">
      <w:pPr>
        <w:pStyle w:val="BodyText"/>
        <w:jc w:val="both"/>
        <w:rPr>
          <w:rFonts w:cs="Arial"/>
          <w:b/>
          <w:szCs w:val="24"/>
        </w:rPr>
      </w:pPr>
      <w:r w:rsidRPr="003B2FEF">
        <w:rPr>
          <w:rFonts w:cs="Arial"/>
          <w:b/>
          <w:szCs w:val="24"/>
        </w:rPr>
        <w:t>Current Position</w:t>
      </w:r>
    </w:p>
    <w:p w14:paraId="48DE3265" w14:textId="77777777" w:rsidR="00B8149C" w:rsidRDefault="00B8149C" w:rsidP="00B8149C">
      <w:pPr>
        <w:pStyle w:val="BodyText"/>
        <w:jc w:val="both"/>
        <w:rPr>
          <w:rFonts w:cs="Arial"/>
          <w:sz w:val="22"/>
          <w:szCs w:val="22"/>
        </w:rPr>
      </w:pPr>
    </w:p>
    <w:p w14:paraId="0F402EED" w14:textId="77777777" w:rsidR="00115EE2" w:rsidRPr="00A71447" w:rsidRDefault="00115EE2" w:rsidP="005E0478">
      <w:pPr>
        <w:spacing w:after="240"/>
        <w:jc w:val="center"/>
        <w:rPr>
          <w:rFonts w:cs="Arial"/>
          <w:b/>
          <w:color w:val="000000"/>
          <w:szCs w:val="24"/>
        </w:rPr>
      </w:pPr>
      <w:r w:rsidRPr="00A71447">
        <w:rPr>
          <w:rFonts w:cs="Arial"/>
          <w:b/>
          <w:color w:val="000000"/>
          <w:szCs w:val="24"/>
        </w:rPr>
        <w:t>Current Treasury Portfolio Position</w:t>
      </w:r>
    </w:p>
    <w:tbl>
      <w:tblPr>
        <w:tblW w:w="9361" w:type="dxa"/>
        <w:tblLayout w:type="fixed"/>
        <w:tblLook w:val="0000" w:firstRow="0" w:lastRow="0" w:firstColumn="0" w:lastColumn="0" w:noHBand="0" w:noVBand="0"/>
      </w:tblPr>
      <w:tblGrid>
        <w:gridCol w:w="6364"/>
        <w:gridCol w:w="1541"/>
        <w:gridCol w:w="1456"/>
      </w:tblGrid>
      <w:tr w:rsidR="00115EE2" w:rsidRPr="00A71447" w14:paraId="7D38C66E" w14:textId="77777777" w:rsidTr="00115EE2">
        <w:trPr>
          <w:trHeight w:val="127"/>
        </w:trPr>
        <w:tc>
          <w:tcPr>
            <w:tcW w:w="6364" w:type="dxa"/>
            <w:vMerge w:val="restart"/>
          </w:tcPr>
          <w:p w14:paraId="2C54F298" w14:textId="52A6497C" w:rsidR="00115EE2" w:rsidRPr="00A71447" w:rsidRDefault="00115EE2" w:rsidP="005E0478">
            <w:pPr>
              <w:spacing w:after="240"/>
              <w:rPr>
                <w:rFonts w:cs="Arial"/>
                <w:b/>
                <w:color w:val="000000"/>
                <w:szCs w:val="24"/>
              </w:rPr>
            </w:pPr>
            <w:r w:rsidRPr="00A71447">
              <w:rPr>
                <w:rFonts w:cs="Arial"/>
                <w:b/>
                <w:color w:val="000000"/>
                <w:szCs w:val="24"/>
              </w:rPr>
              <w:t xml:space="preserve">The current </w:t>
            </w:r>
            <w:r w:rsidR="00AA1BF2" w:rsidRPr="00A71447">
              <w:rPr>
                <w:rFonts w:cs="Arial"/>
                <w:b/>
                <w:color w:val="000000"/>
                <w:szCs w:val="24"/>
              </w:rPr>
              <w:t>value</w:t>
            </w:r>
            <w:r w:rsidRPr="00A71447">
              <w:rPr>
                <w:rFonts w:cs="Arial"/>
                <w:b/>
                <w:color w:val="000000"/>
                <w:szCs w:val="24"/>
              </w:rPr>
              <w:t xml:space="preserve"> of the Commissioner's Treasury Portfolio at </w:t>
            </w:r>
            <w:r w:rsidR="00A71447" w:rsidRPr="00A71447">
              <w:rPr>
                <w:rFonts w:cs="Arial"/>
                <w:b/>
                <w:color w:val="000000"/>
                <w:szCs w:val="24"/>
              </w:rPr>
              <w:t>2</w:t>
            </w:r>
            <w:r w:rsidR="00A71447">
              <w:rPr>
                <w:rFonts w:cs="Arial"/>
                <w:b/>
                <w:color w:val="000000"/>
                <w:szCs w:val="24"/>
              </w:rPr>
              <w:t>8</w:t>
            </w:r>
            <w:r w:rsidR="00AA1BF2" w:rsidRPr="00A71447">
              <w:rPr>
                <w:rFonts w:cs="Arial"/>
                <w:b/>
                <w:color w:val="000000"/>
                <w:szCs w:val="24"/>
              </w:rPr>
              <w:t>.2.</w:t>
            </w:r>
            <w:r w:rsidR="00A71447" w:rsidRPr="00A71447">
              <w:rPr>
                <w:rFonts w:cs="Arial"/>
                <w:b/>
                <w:color w:val="000000"/>
                <w:szCs w:val="24"/>
              </w:rPr>
              <w:t>202</w:t>
            </w:r>
            <w:r w:rsidR="00A71447">
              <w:rPr>
                <w:rFonts w:cs="Arial"/>
                <w:b/>
                <w:color w:val="000000"/>
                <w:szCs w:val="24"/>
              </w:rPr>
              <w:t>1</w:t>
            </w:r>
            <w:r w:rsidR="00A71447" w:rsidRPr="00A71447">
              <w:rPr>
                <w:rFonts w:cs="Arial"/>
                <w:b/>
                <w:color w:val="000000"/>
                <w:szCs w:val="24"/>
              </w:rPr>
              <w:t xml:space="preserve"> </w:t>
            </w:r>
            <w:r w:rsidRPr="00A71447">
              <w:rPr>
                <w:rFonts w:cs="Arial"/>
                <w:b/>
                <w:color w:val="000000"/>
                <w:szCs w:val="24"/>
              </w:rPr>
              <w:t>is:</w:t>
            </w:r>
          </w:p>
          <w:p w14:paraId="51EB8969" w14:textId="77777777" w:rsidR="00115EE2" w:rsidRPr="00DC4EA5" w:rsidRDefault="00115EE2" w:rsidP="005E0478">
            <w:pPr>
              <w:spacing w:after="120"/>
              <w:rPr>
                <w:rFonts w:cs="Arial"/>
                <w:b/>
                <w:color w:val="000000"/>
                <w:szCs w:val="24"/>
              </w:rPr>
            </w:pPr>
            <w:r w:rsidRPr="00DC4EA5">
              <w:rPr>
                <w:rFonts w:cs="Arial"/>
                <w:b/>
                <w:color w:val="000000"/>
                <w:szCs w:val="24"/>
              </w:rPr>
              <w:t>DEBT</w:t>
            </w:r>
          </w:p>
        </w:tc>
        <w:tc>
          <w:tcPr>
            <w:tcW w:w="1541" w:type="dxa"/>
          </w:tcPr>
          <w:p w14:paraId="540352F7" w14:textId="77777777" w:rsidR="00115EE2" w:rsidRPr="00DC4EA5" w:rsidRDefault="00115EE2" w:rsidP="005E0478">
            <w:pPr>
              <w:jc w:val="center"/>
              <w:rPr>
                <w:rFonts w:cs="Arial"/>
                <w:b/>
                <w:color w:val="000000"/>
                <w:szCs w:val="24"/>
              </w:rPr>
            </w:pPr>
            <w:r w:rsidRPr="00DC4EA5">
              <w:rPr>
                <w:rFonts w:cs="Arial"/>
                <w:b/>
                <w:color w:val="000000"/>
                <w:szCs w:val="24"/>
              </w:rPr>
              <w:t>Principal</w:t>
            </w:r>
          </w:p>
        </w:tc>
        <w:tc>
          <w:tcPr>
            <w:tcW w:w="1456" w:type="dxa"/>
          </w:tcPr>
          <w:p w14:paraId="1E92B50F" w14:textId="11188447" w:rsidR="00115EE2" w:rsidRPr="009F4128" w:rsidRDefault="00115EE2" w:rsidP="005E0478">
            <w:pPr>
              <w:jc w:val="center"/>
              <w:rPr>
                <w:rFonts w:cs="Arial"/>
                <w:b/>
                <w:color w:val="000000"/>
                <w:szCs w:val="24"/>
              </w:rPr>
            </w:pPr>
          </w:p>
        </w:tc>
      </w:tr>
      <w:tr w:rsidR="00115EE2" w:rsidRPr="00A71447" w14:paraId="2B99C438" w14:textId="77777777" w:rsidTr="00115EE2">
        <w:trPr>
          <w:trHeight w:val="82"/>
        </w:trPr>
        <w:tc>
          <w:tcPr>
            <w:tcW w:w="6364" w:type="dxa"/>
            <w:vMerge/>
          </w:tcPr>
          <w:p w14:paraId="06215CD4" w14:textId="77777777" w:rsidR="00115EE2" w:rsidRPr="00A71447" w:rsidRDefault="00115EE2" w:rsidP="005E0478">
            <w:pPr>
              <w:spacing w:after="240"/>
              <w:jc w:val="center"/>
              <w:rPr>
                <w:rFonts w:cs="Arial"/>
                <w:b/>
                <w:color w:val="000000"/>
                <w:szCs w:val="24"/>
              </w:rPr>
            </w:pPr>
          </w:p>
        </w:tc>
        <w:tc>
          <w:tcPr>
            <w:tcW w:w="1541" w:type="dxa"/>
          </w:tcPr>
          <w:p w14:paraId="48F2F606" w14:textId="77777777" w:rsidR="00115EE2" w:rsidRPr="00A71447" w:rsidRDefault="00115EE2" w:rsidP="00AA1BF2">
            <w:pPr>
              <w:spacing w:after="120"/>
              <w:jc w:val="center"/>
              <w:rPr>
                <w:rFonts w:cs="Arial"/>
                <w:b/>
                <w:color w:val="000000"/>
                <w:szCs w:val="24"/>
              </w:rPr>
            </w:pPr>
            <w:r w:rsidRPr="00A71447">
              <w:rPr>
                <w:rFonts w:cs="Arial"/>
                <w:b/>
                <w:color w:val="000000"/>
                <w:szCs w:val="24"/>
              </w:rPr>
              <w:t>£</w:t>
            </w:r>
            <w:r w:rsidR="00AA1BF2" w:rsidRPr="00A71447">
              <w:rPr>
                <w:rFonts w:cs="Arial"/>
                <w:b/>
                <w:color w:val="000000"/>
                <w:szCs w:val="24"/>
              </w:rPr>
              <w:t>m</w:t>
            </w:r>
          </w:p>
        </w:tc>
        <w:tc>
          <w:tcPr>
            <w:tcW w:w="1456" w:type="dxa"/>
          </w:tcPr>
          <w:p w14:paraId="2BD5292F" w14:textId="77777777" w:rsidR="00115EE2" w:rsidRPr="00A71447" w:rsidRDefault="00115EE2" w:rsidP="005E0478">
            <w:pPr>
              <w:spacing w:after="120"/>
              <w:jc w:val="center"/>
              <w:rPr>
                <w:rFonts w:cs="Arial"/>
                <w:b/>
                <w:color w:val="000000"/>
                <w:szCs w:val="24"/>
              </w:rPr>
            </w:pPr>
          </w:p>
        </w:tc>
      </w:tr>
      <w:tr w:rsidR="00115EE2" w:rsidRPr="00A71447" w14:paraId="439F5CB1" w14:textId="77777777" w:rsidTr="00115EE2">
        <w:trPr>
          <w:trHeight w:val="263"/>
        </w:trPr>
        <w:tc>
          <w:tcPr>
            <w:tcW w:w="6364" w:type="dxa"/>
          </w:tcPr>
          <w:p w14:paraId="45097182" w14:textId="77777777" w:rsidR="00115EE2" w:rsidRPr="00A71447" w:rsidRDefault="00115EE2" w:rsidP="005E0478">
            <w:pPr>
              <w:spacing w:after="240"/>
              <w:rPr>
                <w:rFonts w:cs="Arial"/>
                <w:color w:val="000000"/>
                <w:szCs w:val="24"/>
              </w:rPr>
            </w:pPr>
            <w:r w:rsidRPr="00A71447">
              <w:rPr>
                <w:rFonts w:cs="Arial"/>
                <w:color w:val="000000"/>
                <w:szCs w:val="24"/>
              </w:rPr>
              <w:t>Fixed rate loans from PWLB</w:t>
            </w:r>
          </w:p>
        </w:tc>
        <w:tc>
          <w:tcPr>
            <w:tcW w:w="1541" w:type="dxa"/>
          </w:tcPr>
          <w:p w14:paraId="165467EA" w14:textId="505E0EDC" w:rsidR="00115EE2" w:rsidRPr="009F4128" w:rsidRDefault="009F4128" w:rsidP="006B15EF">
            <w:pPr>
              <w:tabs>
                <w:tab w:val="decimal" w:pos="849"/>
              </w:tabs>
              <w:spacing w:after="240"/>
              <w:jc w:val="center"/>
              <w:rPr>
                <w:rFonts w:cs="Arial"/>
                <w:color w:val="000000"/>
                <w:szCs w:val="24"/>
              </w:rPr>
            </w:pPr>
            <w:r>
              <w:rPr>
                <w:rFonts w:cs="Arial"/>
                <w:color w:val="000000"/>
                <w:szCs w:val="24"/>
              </w:rPr>
              <w:t>57.742</w:t>
            </w:r>
          </w:p>
        </w:tc>
        <w:tc>
          <w:tcPr>
            <w:tcW w:w="1456" w:type="dxa"/>
          </w:tcPr>
          <w:p w14:paraId="3F232DC3" w14:textId="77777777" w:rsidR="00115EE2" w:rsidRPr="009F4128" w:rsidRDefault="00115EE2" w:rsidP="005E0478">
            <w:pPr>
              <w:spacing w:after="240"/>
              <w:jc w:val="center"/>
              <w:rPr>
                <w:rFonts w:cs="Arial"/>
                <w:color w:val="000000"/>
                <w:szCs w:val="24"/>
              </w:rPr>
            </w:pPr>
          </w:p>
        </w:tc>
      </w:tr>
      <w:tr w:rsidR="00115EE2" w:rsidRPr="00A71447" w14:paraId="68E5F7F4" w14:textId="77777777" w:rsidTr="00115EE2">
        <w:trPr>
          <w:trHeight w:val="271"/>
        </w:trPr>
        <w:tc>
          <w:tcPr>
            <w:tcW w:w="6364" w:type="dxa"/>
          </w:tcPr>
          <w:p w14:paraId="53B3DDBF" w14:textId="77777777" w:rsidR="00115EE2" w:rsidRPr="00A71447" w:rsidRDefault="002C0B77" w:rsidP="005E0478">
            <w:pPr>
              <w:pStyle w:val="Header"/>
              <w:spacing w:after="240"/>
              <w:rPr>
                <w:rFonts w:cs="Arial"/>
                <w:color w:val="000000"/>
                <w:szCs w:val="24"/>
              </w:rPr>
            </w:pPr>
            <w:r w:rsidRPr="00A71447">
              <w:rPr>
                <w:rFonts w:cs="Arial"/>
                <w:color w:val="000000"/>
                <w:szCs w:val="24"/>
              </w:rPr>
              <w:t>Fixed term loans from other local authorities</w:t>
            </w:r>
          </w:p>
        </w:tc>
        <w:tc>
          <w:tcPr>
            <w:tcW w:w="1541" w:type="dxa"/>
          </w:tcPr>
          <w:p w14:paraId="364ED45C" w14:textId="436CEE94" w:rsidR="00115EE2" w:rsidRPr="009F4128" w:rsidRDefault="009F4128" w:rsidP="00D40B9B">
            <w:pPr>
              <w:tabs>
                <w:tab w:val="decimal" w:pos="849"/>
              </w:tabs>
              <w:spacing w:after="240"/>
              <w:jc w:val="center"/>
              <w:rPr>
                <w:rFonts w:cs="Arial"/>
                <w:color w:val="000000"/>
                <w:szCs w:val="24"/>
              </w:rPr>
            </w:pPr>
            <w:r>
              <w:rPr>
                <w:rFonts w:cs="Arial"/>
                <w:color w:val="000000"/>
                <w:szCs w:val="24"/>
              </w:rPr>
              <w:t>32.000</w:t>
            </w:r>
          </w:p>
        </w:tc>
        <w:tc>
          <w:tcPr>
            <w:tcW w:w="1456" w:type="dxa"/>
          </w:tcPr>
          <w:p w14:paraId="09359D73" w14:textId="77777777" w:rsidR="00115EE2" w:rsidRPr="009F4128" w:rsidRDefault="00115EE2" w:rsidP="005E0478">
            <w:pPr>
              <w:spacing w:after="240"/>
              <w:jc w:val="center"/>
              <w:rPr>
                <w:rFonts w:cs="Arial"/>
                <w:color w:val="000000"/>
                <w:szCs w:val="24"/>
              </w:rPr>
            </w:pPr>
          </w:p>
        </w:tc>
      </w:tr>
      <w:tr w:rsidR="00115EE2" w:rsidRPr="00A71447" w14:paraId="7112C549" w14:textId="77777777" w:rsidTr="00115EE2">
        <w:trPr>
          <w:trHeight w:val="441"/>
        </w:trPr>
        <w:tc>
          <w:tcPr>
            <w:tcW w:w="6364" w:type="dxa"/>
          </w:tcPr>
          <w:p w14:paraId="596627CD" w14:textId="77777777" w:rsidR="00115EE2" w:rsidRPr="00A71447" w:rsidRDefault="00115EE2" w:rsidP="005E0478">
            <w:pPr>
              <w:pStyle w:val="Heading6"/>
              <w:spacing w:after="480"/>
              <w:rPr>
                <w:rFonts w:ascii="Arial" w:hAnsi="Arial" w:cs="Arial"/>
                <w:color w:val="000000"/>
                <w:szCs w:val="24"/>
              </w:rPr>
            </w:pPr>
            <w:r w:rsidRPr="00A71447">
              <w:rPr>
                <w:rFonts w:ascii="Arial" w:hAnsi="Arial" w:cs="Arial"/>
                <w:color w:val="000000"/>
                <w:szCs w:val="24"/>
              </w:rPr>
              <w:t>Total debt</w:t>
            </w:r>
          </w:p>
        </w:tc>
        <w:tc>
          <w:tcPr>
            <w:tcW w:w="1541" w:type="dxa"/>
          </w:tcPr>
          <w:p w14:paraId="3F11CD59" w14:textId="7F591BC8" w:rsidR="00115EE2" w:rsidRPr="009F4128" w:rsidRDefault="009F4128" w:rsidP="008C2EA3">
            <w:pPr>
              <w:pBdr>
                <w:top w:val="single" w:sz="4" w:space="1" w:color="auto"/>
                <w:bottom w:val="double" w:sz="4" w:space="1" w:color="auto"/>
              </w:pBdr>
              <w:tabs>
                <w:tab w:val="decimal" w:pos="849"/>
              </w:tabs>
              <w:spacing w:after="480"/>
              <w:jc w:val="center"/>
              <w:rPr>
                <w:rFonts w:cs="Arial"/>
                <w:b/>
                <w:color w:val="000000"/>
                <w:szCs w:val="24"/>
              </w:rPr>
            </w:pPr>
            <w:r>
              <w:rPr>
                <w:rFonts w:cs="Arial"/>
                <w:b/>
                <w:color w:val="000000"/>
                <w:szCs w:val="24"/>
              </w:rPr>
              <w:t>8</w:t>
            </w:r>
            <w:r w:rsidR="00FE17CB">
              <w:rPr>
                <w:rFonts w:cs="Arial"/>
                <w:b/>
                <w:color w:val="000000"/>
                <w:szCs w:val="24"/>
              </w:rPr>
              <w:t>9</w:t>
            </w:r>
            <w:r>
              <w:rPr>
                <w:rFonts w:cs="Arial"/>
                <w:b/>
                <w:color w:val="000000"/>
                <w:szCs w:val="24"/>
              </w:rPr>
              <w:t>.742</w:t>
            </w:r>
          </w:p>
        </w:tc>
        <w:tc>
          <w:tcPr>
            <w:tcW w:w="1456" w:type="dxa"/>
          </w:tcPr>
          <w:p w14:paraId="28FF9C0F" w14:textId="77777777" w:rsidR="00115EE2" w:rsidRPr="009F4128" w:rsidRDefault="00115EE2" w:rsidP="005E0478">
            <w:pPr>
              <w:spacing w:after="480"/>
              <w:jc w:val="center"/>
              <w:rPr>
                <w:rFonts w:cs="Arial"/>
                <w:b/>
                <w:color w:val="000000"/>
                <w:szCs w:val="24"/>
              </w:rPr>
            </w:pPr>
          </w:p>
        </w:tc>
      </w:tr>
      <w:tr w:rsidR="00115EE2" w:rsidRPr="00A71447" w14:paraId="18D7D9C4" w14:textId="77777777" w:rsidTr="00115EE2">
        <w:trPr>
          <w:trHeight w:val="271"/>
        </w:trPr>
        <w:tc>
          <w:tcPr>
            <w:tcW w:w="6364" w:type="dxa"/>
          </w:tcPr>
          <w:p w14:paraId="7827798D" w14:textId="77777777" w:rsidR="00115EE2" w:rsidRPr="00A71447" w:rsidRDefault="00115EE2" w:rsidP="005E0478">
            <w:pPr>
              <w:pStyle w:val="Header"/>
              <w:spacing w:after="240"/>
              <w:rPr>
                <w:rFonts w:cs="Arial"/>
                <w:b/>
                <w:color w:val="000000"/>
                <w:szCs w:val="24"/>
              </w:rPr>
            </w:pPr>
            <w:r w:rsidRPr="00A71447">
              <w:rPr>
                <w:rFonts w:cs="Arial"/>
                <w:b/>
                <w:color w:val="000000"/>
                <w:szCs w:val="24"/>
              </w:rPr>
              <w:t>INVESTMENTS</w:t>
            </w:r>
          </w:p>
        </w:tc>
        <w:tc>
          <w:tcPr>
            <w:tcW w:w="1541" w:type="dxa"/>
          </w:tcPr>
          <w:p w14:paraId="1D6F1621" w14:textId="77777777" w:rsidR="00115EE2" w:rsidRPr="00A71447" w:rsidRDefault="00115EE2" w:rsidP="005E0478">
            <w:pPr>
              <w:tabs>
                <w:tab w:val="decimal" w:pos="849"/>
              </w:tabs>
              <w:spacing w:after="240"/>
              <w:jc w:val="center"/>
              <w:rPr>
                <w:rFonts w:cs="Arial"/>
                <w:color w:val="000000"/>
                <w:szCs w:val="24"/>
              </w:rPr>
            </w:pPr>
          </w:p>
        </w:tc>
        <w:tc>
          <w:tcPr>
            <w:tcW w:w="1456" w:type="dxa"/>
          </w:tcPr>
          <w:p w14:paraId="49B0A5DD" w14:textId="77777777" w:rsidR="00115EE2" w:rsidRPr="00A71447" w:rsidRDefault="00115EE2" w:rsidP="005E0478">
            <w:pPr>
              <w:spacing w:after="240"/>
              <w:jc w:val="center"/>
              <w:rPr>
                <w:rFonts w:cs="Arial"/>
                <w:color w:val="000000"/>
                <w:szCs w:val="24"/>
              </w:rPr>
            </w:pPr>
          </w:p>
        </w:tc>
      </w:tr>
      <w:tr w:rsidR="00115EE2" w:rsidRPr="00541497" w14:paraId="2C990B41" w14:textId="77777777" w:rsidTr="00EE76B8">
        <w:trPr>
          <w:trHeight w:val="391"/>
        </w:trPr>
        <w:tc>
          <w:tcPr>
            <w:tcW w:w="6364" w:type="dxa"/>
          </w:tcPr>
          <w:p w14:paraId="36B2D441" w14:textId="75CAA2E0" w:rsidR="00AA1BF2" w:rsidRDefault="00115EE2" w:rsidP="00EE76B8">
            <w:pPr>
              <w:pStyle w:val="Header"/>
              <w:spacing w:after="240"/>
              <w:rPr>
                <w:rFonts w:cs="Arial"/>
                <w:color w:val="000000"/>
                <w:szCs w:val="24"/>
              </w:rPr>
            </w:pPr>
            <w:r w:rsidRPr="00A71447">
              <w:rPr>
                <w:rFonts w:cs="Arial"/>
                <w:color w:val="000000"/>
                <w:szCs w:val="24"/>
              </w:rPr>
              <w:t xml:space="preserve">Variable rate investments </w:t>
            </w:r>
            <w:r w:rsidR="005E0478" w:rsidRPr="00A71447">
              <w:rPr>
                <w:rFonts w:cs="Arial"/>
                <w:color w:val="000000"/>
                <w:szCs w:val="24"/>
              </w:rPr>
              <w:t xml:space="preserve">in the County Council's General </w:t>
            </w:r>
            <w:r w:rsidRPr="009F4128">
              <w:rPr>
                <w:rFonts w:cs="Arial"/>
                <w:color w:val="000000"/>
                <w:szCs w:val="24"/>
              </w:rPr>
              <w:t xml:space="preserve">County Fund </w:t>
            </w:r>
          </w:p>
          <w:p w14:paraId="2BC9FCCF" w14:textId="2AA26BFD" w:rsidR="009F4128" w:rsidRPr="009F4128" w:rsidRDefault="009F4128" w:rsidP="00EE76B8">
            <w:pPr>
              <w:pStyle w:val="Header"/>
              <w:spacing w:after="240"/>
              <w:ind w:right="2098"/>
              <w:rPr>
                <w:rFonts w:cs="Arial"/>
                <w:color w:val="000000"/>
                <w:szCs w:val="24"/>
              </w:rPr>
            </w:pPr>
            <w:r>
              <w:rPr>
                <w:rFonts w:cs="Arial"/>
                <w:color w:val="000000"/>
                <w:szCs w:val="24"/>
              </w:rPr>
              <w:t>Fixed rate deposit with local authority</w:t>
            </w:r>
          </w:p>
        </w:tc>
        <w:tc>
          <w:tcPr>
            <w:tcW w:w="1541" w:type="dxa"/>
            <w:vAlign w:val="bottom"/>
          </w:tcPr>
          <w:p w14:paraId="2CC68AE2" w14:textId="19F62008" w:rsidR="00AA1BF2" w:rsidRDefault="009F4128" w:rsidP="00EE76B8">
            <w:pPr>
              <w:tabs>
                <w:tab w:val="decimal" w:pos="849"/>
              </w:tabs>
              <w:spacing w:after="240"/>
              <w:jc w:val="right"/>
              <w:rPr>
                <w:rFonts w:cs="Arial"/>
                <w:color w:val="000000"/>
                <w:szCs w:val="24"/>
              </w:rPr>
            </w:pPr>
            <w:r>
              <w:rPr>
                <w:rFonts w:cs="Arial"/>
                <w:color w:val="000000"/>
                <w:szCs w:val="24"/>
              </w:rPr>
              <w:t>34.949</w:t>
            </w:r>
          </w:p>
          <w:p w14:paraId="7EF46B69" w14:textId="526BEC85" w:rsidR="009F4128" w:rsidRPr="009F4128" w:rsidRDefault="009F4128" w:rsidP="00EE76B8">
            <w:pPr>
              <w:tabs>
                <w:tab w:val="decimal" w:pos="849"/>
              </w:tabs>
              <w:spacing w:after="240"/>
              <w:jc w:val="right"/>
              <w:rPr>
                <w:rFonts w:cs="Arial"/>
                <w:color w:val="000000"/>
                <w:szCs w:val="24"/>
              </w:rPr>
            </w:pPr>
            <w:r>
              <w:rPr>
                <w:rFonts w:cs="Arial"/>
                <w:color w:val="000000"/>
                <w:szCs w:val="24"/>
              </w:rPr>
              <w:t>5.350</w:t>
            </w:r>
          </w:p>
        </w:tc>
        <w:tc>
          <w:tcPr>
            <w:tcW w:w="1456" w:type="dxa"/>
          </w:tcPr>
          <w:p w14:paraId="01C98FAA" w14:textId="77777777" w:rsidR="00115EE2" w:rsidRPr="009F4128" w:rsidRDefault="00115EE2" w:rsidP="005E0478">
            <w:pPr>
              <w:spacing w:after="240"/>
              <w:jc w:val="center"/>
              <w:rPr>
                <w:rFonts w:cs="Arial"/>
                <w:color w:val="000000"/>
                <w:szCs w:val="24"/>
              </w:rPr>
            </w:pPr>
          </w:p>
        </w:tc>
      </w:tr>
      <w:tr w:rsidR="00115EE2" w:rsidRPr="00532091" w14:paraId="695530CC" w14:textId="77777777" w:rsidTr="00115EE2">
        <w:trPr>
          <w:trHeight w:val="806"/>
        </w:trPr>
        <w:tc>
          <w:tcPr>
            <w:tcW w:w="6364" w:type="dxa"/>
          </w:tcPr>
          <w:p w14:paraId="065193B0" w14:textId="77777777" w:rsidR="00115EE2" w:rsidRPr="00532091" w:rsidRDefault="00115EE2" w:rsidP="005E0478">
            <w:pPr>
              <w:pStyle w:val="Header"/>
              <w:spacing w:after="240"/>
              <w:rPr>
                <w:rFonts w:cs="Arial"/>
                <w:b/>
                <w:color w:val="000000"/>
                <w:szCs w:val="24"/>
              </w:rPr>
            </w:pPr>
            <w:r w:rsidRPr="00532091">
              <w:rPr>
                <w:rFonts w:cs="Arial"/>
                <w:b/>
                <w:color w:val="000000"/>
                <w:szCs w:val="24"/>
              </w:rPr>
              <w:t>Total investments</w:t>
            </w:r>
          </w:p>
        </w:tc>
        <w:tc>
          <w:tcPr>
            <w:tcW w:w="1541" w:type="dxa"/>
          </w:tcPr>
          <w:p w14:paraId="029B6D9B" w14:textId="12379CDD" w:rsidR="00115EE2" w:rsidRPr="00532091" w:rsidRDefault="009F4128" w:rsidP="008C2EA3">
            <w:pPr>
              <w:pBdr>
                <w:top w:val="single" w:sz="4" w:space="1" w:color="auto"/>
                <w:bottom w:val="double" w:sz="4" w:space="1" w:color="auto"/>
              </w:pBdr>
              <w:tabs>
                <w:tab w:val="decimal" w:pos="849"/>
              </w:tabs>
              <w:spacing w:after="480"/>
              <w:jc w:val="center"/>
              <w:rPr>
                <w:rFonts w:cs="Arial"/>
                <w:b/>
                <w:color w:val="000000"/>
                <w:szCs w:val="24"/>
              </w:rPr>
            </w:pPr>
            <w:r w:rsidRPr="00532091">
              <w:rPr>
                <w:rFonts w:cs="Arial"/>
                <w:b/>
                <w:color w:val="000000"/>
                <w:szCs w:val="24"/>
              </w:rPr>
              <w:t>40.299</w:t>
            </w:r>
          </w:p>
        </w:tc>
        <w:tc>
          <w:tcPr>
            <w:tcW w:w="1456" w:type="dxa"/>
          </w:tcPr>
          <w:p w14:paraId="1FC87C4C" w14:textId="77777777" w:rsidR="00115EE2" w:rsidRPr="00532091" w:rsidRDefault="00115EE2" w:rsidP="005E0478">
            <w:pPr>
              <w:spacing w:after="480"/>
              <w:ind w:left="-6852" w:right="4"/>
              <w:jc w:val="center"/>
              <w:rPr>
                <w:rFonts w:cs="Arial"/>
                <w:b/>
                <w:color w:val="000000"/>
                <w:szCs w:val="24"/>
              </w:rPr>
            </w:pPr>
          </w:p>
        </w:tc>
      </w:tr>
    </w:tbl>
    <w:p w14:paraId="043DF401" w14:textId="77777777" w:rsidR="00F35312" w:rsidRPr="00532091" w:rsidRDefault="00F35312" w:rsidP="00115EE2">
      <w:pPr>
        <w:spacing w:after="240"/>
        <w:jc w:val="both"/>
        <w:rPr>
          <w:rFonts w:cs="Arial"/>
          <w:color w:val="000000"/>
          <w:szCs w:val="24"/>
        </w:rPr>
      </w:pPr>
    </w:p>
    <w:p w14:paraId="57C6816F" w14:textId="77777777" w:rsidR="00184744" w:rsidRPr="00532091" w:rsidRDefault="00115EE2" w:rsidP="00115EE2">
      <w:pPr>
        <w:spacing w:after="240"/>
        <w:jc w:val="both"/>
        <w:rPr>
          <w:rFonts w:cs="Arial"/>
          <w:color w:val="000000"/>
          <w:szCs w:val="24"/>
        </w:rPr>
      </w:pPr>
      <w:r w:rsidRPr="00532091">
        <w:rPr>
          <w:rFonts w:cs="Arial"/>
          <w:color w:val="000000"/>
          <w:szCs w:val="24"/>
        </w:rPr>
        <w:t xml:space="preserve">The level of investments represents the Commissioner’s cumulative surplus on the General Fund, the balances on other cash-backed earmarked reserves and a cash-flow balance generated by a surplus of creditors over debtors and by grant receipts in advance of payments. </w:t>
      </w:r>
    </w:p>
    <w:p w14:paraId="75606C91" w14:textId="77777777" w:rsidR="00115EE2" w:rsidRPr="009F4128" w:rsidRDefault="00115EE2" w:rsidP="00184744">
      <w:pPr>
        <w:spacing w:after="240"/>
        <w:rPr>
          <w:b/>
          <w:szCs w:val="24"/>
        </w:rPr>
      </w:pPr>
      <w:r w:rsidRPr="009F4128">
        <w:rPr>
          <w:b/>
          <w:szCs w:val="24"/>
        </w:rPr>
        <w:lastRenderedPageBreak/>
        <w:t xml:space="preserve">Borrowing Requirement </w:t>
      </w:r>
    </w:p>
    <w:p w14:paraId="0F31F070" w14:textId="2C5FA895" w:rsidR="00D70643" w:rsidRPr="009F4128" w:rsidRDefault="00D70643" w:rsidP="00D70643">
      <w:pPr>
        <w:jc w:val="both"/>
        <w:rPr>
          <w:rFonts w:cs="Arial"/>
          <w:bCs/>
          <w:szCs w:val="24"/>
        </w:rPr>
      </w:pPr>
      <w:r w:rsidRPr="009F4128">
        <w:rPr>
          <w:rFonts w:cs="Arial"/>
          <w:bCs/>
          <w:szCs w:val="24"/>
        </w:rPr>
        <w:t xml:space="preserve">In the medium term </w:t>
      </w:r>
      <w:r w:rsidR="00D40B9B" w:rsidRPr="009F4128">
        <w:rPr>
          <w:rFonts w:cs="Arial"/>
          <w:bCs/>
          <w:szCs w:val="24"/>
        </w:rPr>
        <w:t xml:space="preserve">the </w:t>
      </w:r>
      <w:r w:rsidRPr="009F4128">
        <w:rPr>
          <w:rFonts w:cs="Arial"/>
          <w:bCs/>
          <w:szCs w:val="24"/>
        </w:rPr>
        <w:t>PCC borrows for capital purposes only. The underlying need to borrow for capital purposes is measured by the Capital Financing Requirement (CFR), while usable reserves and working capital are the underlying resources available for investment. The table below compares the estimated CFR to the debt which currently exists. This gives an indication of the borrowing required. It also shows the estimated resources available for investment. An option is to use these balances to finance the expenditure rather than investing, often referred to as internal borrowing, so the table gives an indication of the minimum borrowing requirement through th</w:t>
      </w:r>
      <w:r w:rsidR="00EE76B8">
        <w:rPr>
          <w:rFonts w:cs="Arial"/>
          <w:bCs/>
          <w:szCs w:val="24"/>
        </w:rPr>
        <w:t>is</w:t>
      </w:r>
      <w:r w:rsidRPr="009F4128">
        <w:rPr>
          <w:rFonts w:cs="Arial"/>
          <w:bCs/>
          <w:szCs w:val="24"/>
        </w:rPr>
        <w:t xml:space="preserve"> method.</w:t>
      </w:r>
    </w:p>
    <w:p w14:paraId="09E1B29C" w14:textId="77777777" w:rsidR="00674D2E" w:rsidRPr="009F4128" w:rsidRDefault="00674D2E" w:rsidP="00D70643">
      <w:pPr>
        <w:jc w:val="both"/>
        <w:rPr>
          <w:rFonts w:cs="Arial"/>
          <w:bCs/>
          <w:szCs w:val="24"/>
        </w:rPr>
      </w:pPr>
    </w:p>
    <w:p w14:paraId="328DCDCF" w14:textId="188BB2E2" w:rsidR="00674D2E" w:rsidRPr="00624FA1" w:rsidRDefault="00674D2E" w:rsidP="00D70643">
      <w:pPr>
        <w:jc w:val="both"/>
        <w:rPr>
          <w:rFonts w:cs="Arial"/>
          <w:bCs/>
          <w:szCs w:val="24"/>
        </w:rPr>
      </w:pPr>
      <w:r w:rsidRPr="009F4128">
        <w:rPr>
          <w:rFonts w:cs="Arial"/>
          <w:bCs/>
          <w:szCs w:val="24"/>
        </w:rPr>
        <w:t>The CF</w:t>
      </w:r>
      <w:r w:rsidR="00AC14ED" w:rsidRPr="009F4128">
        <w:rPr>
          <w:rFonts w:cs="Arial"/>
          <w:bCs/>
          <w:szCs w:val="24"/>
        </w:rPr>
        <w:t>R</w:t>
      </w:r>
      <w:r w:rsidRPr="009F4128">
        <w:rPr>
          <w:rFonts w:cs="Arial"/>
          <w:bCs/>
          <w:szCs w:val="24"/>
        </w:rPr>
        <w:t xml:space="preserve"> has been calculated adopting a policy that the Commissioner has set aside revenue reserves </w:t>
      </w:r>
      <w:r w:rsidR="00BF4D6D" w:rsidRPr="009F4128">
        <w:rPr>
          <w:rFonts w:cs="Arial"/>
          <w:bCs/>
          <w:szCs w:val="24"/>
        </w:rPr>
        <w:t xml:space="preserve">and contributions </w:t>
      </w:r>
      <w:r w:rsidRPr="009F4128">
        <w:rPr>
          <w:rFonts w:cs="Arial"/>
          <w:bCs/>
          <w:szCs w:val="24"/>
        </w:rPr>
        <w:t xml:space="preserve">to contribute to the delivery of the investment included in the Capital Programme. This resource will be used, in the first instance, to provide finance for short life assets such as IT systems and equipment </w:t>
      </w:r>
      <w:proofErr w:type="gramStart"/>
      <w:r w:rsidRPr="009F4128">
        <w:rPr>
          <w:rFonts w:cs="Arial"/>
          <w:bCs/>
          <w:szCs w:val="24"/>
        </w:rPr>
        <w:t>in order to</w:t>
      </w:r>
      <w:proofErr w:type="gramEnd"/>
      <w:r w:rsidRPr="009F4128">
        <w:rPr>
          <w:rFonts w:cs="Arial"/>
          <w:bCs/>
          <w:szCs w:val="24"/>
        </w:rPr>
        <w:t xml:space="preserve"> avoid the use of borrowing where possible for this type of asset. </w:t>
      </w:r>
      <w:r w:rsidR="00BF4D6D" w:rsidRPr="009F4128">
        <w:rPr>
          <w:rFonts w:cs="Arial"/>
          <w:bCs/>
          <w:szCs w:val="24"/>
        </w:rPr>
        <w:t xml:space="preserve">The Commissioner's strategy increases the revenue budget each year in respect of the contribution made to finance the capital programme. </w:t>
      </w:r>
      <w:r w:rsidRPr="009F4128">
        <w:rPr>
          <w:rFonts w:cs="Arial"/>
          <w:bCs/>
          <w:szCs w:val="24"/>
        </w:rPr>
        <w:t xml:space="preserve">This approach </w:t>
      </w:r>
      <w:r w:rsidR="00BF4D6D" w:rsidRPr="009F4128">
        <w:rPr>
          <w:rFonts w:cs="Arial"/>
          <w:bCs/>
          <w:szCs w:val="24"/>
        </w:rPr>
        <w:t xml:space="preserve">reflects the reduction in earmarked reserves available for funding the capital programme and </w:t>
      </w:r>
      <w:r w:rsidRPr="009F4128">
        <w:rPr>
          <w:rFonts w:cs="Arial"/>
          <w:bCs/>
          <w:szCs w:val="24"/>
        </w:rPr>
        <w:t>represents a prudent strategy for the funding of short life assets</w:t>
      </w:r>
      <w:r w:rsidR="00BF4D6D" w:rsidRPr="009F4128">
        <w:rPr>
          <w:rFonts w:cs="Arial"/>
          <w:bCs/>
          <w:szCs w:val="24"/>
        </w:rPr>
        <w:t>. This approach is taken because</w:t>
      </w:r>
      <w:r w:rsidRPr="009F4128">
        <w:rPr>
          <w:rFonts w:cs="Arial"/>
          <w:bCs/>
          <w:szCs w:val="24"/>
        </w:rPr>
        <w:t xml:space="preserve"> the </w:t>
      </w:r>
      <w:r w:rsidR="00624FA1">
        <w:rPr>
          <w:rFonts w:cs="Arial"/>
          <w:bCs/>
          <w:szCs w:val="24"/>
        </w:rPr>
        <w:t xml:space="preserve">annual </w:t>
      </w:r>
      <w:r w:rsidRPr="00624FA1">
        <w:rPr>
          <w:rFonts w:cs="Arial"/>
          <w:bCs/>
          <w:szCs w:val="24"/>
        </w:rPr>
        <w:t>cost of borrowing over shorter terms is more expensive than for longer periods</w:t>
      </w:r>
      <w:r w:rsidR="00624FA1">
        <w:rPr>
          <w:rFonts w:cs="Arial"/>
          <w:bCs/>
          <w:szCs w:val="24"/>
        </w:rPr>
        <w:t xml:space="preserve"> due to the higher MRP repayment</w:t>
      </w:r>
      <w:r w:rsidRPr="00624FA1">
        <w:rPr>
          <w:rFonts w:cs="Arial"/>
          <w:bCs/>
          <w:szCs w:val="24"/>
        </w:rPr>
        <w:t xml:space="preserve"> and the use of </w:t>
      </w:r>
      <w:r w:rsidR="00BF4D6D" w:rsidRPr="00624FA1">
        <w:rPr>
          <w:rFonts w:cs="Arial"/>
          <w:bCs/>
          <w:szCs w:val="24"/>
        </w:rPr>
        <w:t>revenue contributions and reserves</w:t>
      </w:r>
      <w:r w:rsidRPr="00624FA1">
        <w:rPr>
          <w:rFonts w:cs="Arial"/>
          <w:bCs/>
          <w:szCs w:val="24"/>
        </w:rPr>
        <w:t xml:space="preserve"> to minimise such shorter life borrowing represents better value for money. </w:t>
      </w:r>
    </w:p>
    <w:p w14:paraId="051D4E74" w14:textId="77777777" w:rsidR="00D70643" w:rsidRPr="009F4128" w:rsidRDefault="00D70643" w:rsidP="00D70643">
      <w:pPr>
        <w:jc w:val="both"/>
        <w:rPr>
          <w:rFonts w:cs="Arial"/>
          <w:bCs/>
          <w:szCs w:val="24"/>
        </w:rPr>
      </w:pPr>
    </w:p>
    <w:p w14:paraId="505759DC" w14:textId="77777777" w:rsidR="00D70643" w:rsidRPr="009F4128" w:rsidRDefault="00D70643" w:rsidP="00D70643">
      <w:pPr>
        <w:jc w:val="both"/>
        <w:rPr>
          <w:rFonts w:cs="Arial"/>
          <w:bCs/>
          <w:szCs w:val="24"/>
        </w:rPr>
      </w:pPr>
      <w:r w:rsidRPr="009F4128">
        <w:rPr>
          <w:rFonts w:cs="Arial"/>
          <w:bCs/>
          <w:szCs w:val="24"/>
        </w:rPr>
        <w:t xml:space="preserve">The CFR forecast includes the impact of the latest forecast of the funding of the Capital Programme. </w:t>
      </w:r>
    </w:p>
    <w:p w14:paraId="421F1CB9" w14:textId="77777777" w:rsidR="00D70643" w:rsidRPr="0052569D" w:rsidRDefault="00D70643" w:rsidP="00D70643">
      <w:pPr>
        <w:jc w:val="both"/>
        <w:rPr>
          <w:rFonts w:cs="Arial"/>
          <w:bCs/>
          <w:szCs w:val="24"/>
          <w:highlight w:val="yellow"/>
        </w:rPr>
      </w:pPr>
    </w:p>
    <w:tbl>
      <w:tblPr>
        <w:tblStyle w:val="TableGrid2"/>
        <w:tblW w:w="9209" w:type="dxa"/>
        <w:tblLayout w:type="fixed"/>
        <w:tblLook w:val="04A0" w:firstRow="1" w:lastRow="0" w:firstColumn="1" w:lastColumn="0" w:noHBand="0" w:noVBand="1"/>
      </w:tblPr>
      <w:tblGrid>
        <w:gridCol w:w="3539"/>
        <w:gridCol w:w="1418"/>
        <w:gridCol w:w="1417"/>
        <w:gridCol w:w="1418"/>
        <w:gridCol w:w="1417"/>
      </w:tblGrid>
      <w:tr w:rsidR="00D40B9B" w:rsidRPr="00541497" w14:paraId="0ACEAC98" w14:textId="77777777" w:rsidTr="00BA1AE1">
        <w:tc>
          <w:tcPr>
            <w:tcW w:w="3539" w:type="dxa"/>
          </w:tcPr>
          <w:p w14:paraId="3E9DA9D7" w14:textId="77777777" w:rsidR="00D40B9B" w:rsidRPr="004D0385" w:rsidRDefault="00D40B9B" w:rsidP="00D70643">
            <w:pPr>
              <w:jc w:val="both"/>
              <w:rPr>
                <w:rFonts w:cs="Arial"/>
                <w:bCs/>
                <w:szCs w:val="24"/>
              </w:rPr>
            </w:pPr>
          </w:p>
        </w:tc>
        <w:tc>
          <w:tcPr>
            <w:tcW w:w="1418" w:type="dxa"/>
          </w:tcPr>
          <w:p w14:paraId="418985A1" w14:textId="7A898879" w:rsidR="00D40B9B" w:rsidRPr="004D0385" w:rsidRDefault="00D40B9B" w:rsidP="004D0385">
            <w:pPr>
              <w:jc w:val="right"/>
              <w:rPr>
                <w:rFonts w:cs="Arial"/>
                <w:bCs/>
                <w:szCs w:val="24"/>
              </w:rPr>
            </w:pPr>
            <w:r w:rsidRPr="004D0385">
              <w:rPr>
                <w:rFonts w:cs="Arial"/>
                <w:bCs/>
                <w:szCs w:val="24"/>
              </w:rPr>
              <w:t>31/3/</w:t>
            </w:r>
            <w:r w:rsidR="004D0385" w:rsidRPr="004D0385">
              <w:rPr>
                <w:rFonts w:cs="Arial"/>
                <w:bCs/>
                <w:szCs w:val="24"/>
              </w:rPr>
              <w:t>202</w:t>
            </w:r>
            <w:r w:rsidR="004D0385" w:rsidRPr="0052569D">
              <w:rPr>
                <w:rFonts w:cs="Arial"/>
                <w:bCs/>
                <w:szCs w:val="24"/>
              </w:rPr>
              <w:t>1</w:t>
            </w:r>
          </w:p>
        </w:tc>
        <w:tc>
          <w:tcPr>
            <w:tcW w:w="1417" w:type="dxa"/>
          </w:tcPr>
          <w:p w14:paraId="53D85A3D" w14:textId="09458106" w:rsidR="00D40B9B" w:rsidRPr="004D0385" w:rsidRDefault="00D40B9B" w:rsidP="004D0385">
            <w:pPr>
              <w:jc w:val="right"/>
              <w:rPr>
                <w:rFonts w:cs="Arial"/>
                <w:bCs/>
                <w:szCs w:val="24"/>
              </w:rPr>
            </w:pPr>
            <w:r w:rsidRPr="004D0385">
              <w:rPr>
                <w:rFonts w:cs="Arial"/>
                <w:bCs/>
                <w:szCs w:val="24"/>
              </w:rPr>
              <w:t>31/3/</w:t>
            </w:r>
            <w:r w:rsidR="004D0385" w:rsidRPr="004D0385">
              <w:rPr>
                <w:rFonts w:cs="Arial"/>
                <w:bCs/>
                <w:szCs w:val="24"/>
              </w:rPr>
              <w:t>202</w:t>
            </w:r>
            <w:r w:rsidR="004D0385" w:rsidRPr="0052569D">
              <w:rPr>
                <w:rFonts w:cs="Arial"/>
                <w:bCs/>
                <w:szCs w:val="24"/>
              </w:rPr>
              <w:t>2</w:t>
            </w:r>
          </w:p>
        </w:tc>
        <w:tc>
          <w:tcPr>
            <w:tcW w:w="1418" w:type="dxa"/>
          </w:tcPr>
          <w:p w14:paraId="2E0AAD74" w14:textId="4879B546" w:rsidR="00D40B9B" w:rsidRPr="004D0385" w:rsidRDefault="00D40B9B" w:rsidP="004D0385">
            <w:pPr>
              <w:jc w:val="right"/>
              <w:rPr>
                <w:rFonts w:cs="Arial"/>
                <w:bCs/>
                <w:szCs w:val="24"/>
              </w:rPr>
            </w:pPr>
            <w:r w:rsidRPr="004D0385">
              <w:rPr>
                <w:rFonts w:cs="Arial"/>
                <w:bCs/>
                <w:szCs w:val="24"/>
              </w:rPr>
              <w:t>31/3/</w:t>
            </w:r>
            <w:r w:rsidR="004D0385" w:rsidRPr="004D0385">
              <w:rPr>
                <w:rFonts w:cs="Arial"/>
                <w:bCs/>
                <w:szCs w:val="24"/>
              </w:rPr>
              <w:t>202</w:t>
            </w:r>
            <w:r w:rsidR="004D0385" w:rsidRPr="0052569D">
              <w:rPr>
                <w:rFonts w:cs="Arial"/>
                <w:bCs/>
                <w:szCs w:val="24"/>
              </w:rPr>
              <w:t>3</w:t>
            </w:r>
          </w:p>
        </w:tc>
        <w:tc>
          <w:tcPr>
            <w:tcW w:w="1417" w:type="dxa"/>
          </w:tcPr>
          <w:p w14:paraId="6AAD0611" w14:textId="002C278F" w:rsidR="00D40B9B" w:rsidRPr="004D0385" w:rsidRDefault="00D40B9B" w:rsidP="004D0385">
            <w:pPr>
              <w:jc w:val="right"/>
              <w:rPr>
                <w:rFonts w:cs="Arial"/>
                <w:bCs/>
                <w:szCs w:val="24"/>
              </w:rPr>
            </w:pPr>
            <w:r w:rsidRPr="00624FA1">
              <w:rPr>
                <w:rFonts w:cs="Arial"/>
                <w:bCs/>
                <w:szCs w:val="24"/>
              </w:rPr>
              <w:t>31/3/202</w:t>
            </w:r>
            <w:r w:rsidR="004D0385" w:rsidRPr="0052569D">
              <w:rPr>
                <w:rFonts w:cs="Arial"/>
                <w:bCs/>
                <w:szCs w:val="24"/>
              </w:rPr>
              <w:t>4</w:t>
            </w:r>
          </w:p>
        </w:tc>
      </w:tr>
      <w:tr w:rsidR="00D40B9B" w:rsidRPr="00541497" w14:paraId="5AECEF72" w14:textId="77777777" w:rsidTr="00BA1AE1">
        <w:tc>
          <w:tcPr>
            <w:tcW w:w="3539" w:type="dxa"/>
          </w:tcPr>
          <w:p w14:paraId="35C004B5" w14:textId="77777777" w:rsidR="00D40B9B" w:rsidRPr="004D0385" w:rsidRDefault="00D40B9B" w:rsidP="00D70643">
            <w:pPr>
              <w:jc w:val="both"/>
              <w:rPr>
                <w:rFonts w:cs="Arial"/>
                <w:bCs/>
                <w:szCs w:val="24"/>
              </w:rPr>
            </w:pPr>
          </w:p>
        </w:tc>
        <w:tc>
          <w:tcPr>
            <w:tcW w:w="1418" w:type="dxa"/>
          </w:tcPr>
          <w:p w14:paraId="22816427" w14:textId="77777777" w:rsidR="00D40B9B" w:rsidRPr="004D0385" w:rsidRDefault="00D40B9B" w:rsidP="00D70643">
            <w:pPr>
              <w:jc w:val="both"/>
              <w:rPr>
                <w:rFonts w:cs="Arial"/>
                <w:bCs/>
                <w:szCs w:val="24"/>
              </w:rPr>
            </w:pPr>
            <w:r w:rsidRPr="004D0385">
              <w:rPr>
                <w:rFonts w:cs="Arial"/>
                <w:bCs/>
                <w:szCs w:val="24"/>
              </w:rPr>
              <w:t>£m</w:t>
            </w:r>
          </w:p>
        </w:tc>
        <w:tc>
          <w:tcPr>
            <w:tcW w:w="1417" w:type="dxa"/>
          </w:tcPr>
          <w:p w14:paraId="58EC022F" w14:textId="77777777" w:rsidR="00D40B9B" w:rsidRPr="004D0385" w:rsidRDefault="00D40B9B" w:rsidP="00D70643">
            <w:pPr>
              <w:jc w:val="both"/>
              <w:rPr>
                <w:rFonts w:cs="Arial"/>
                <w:bCs/>
                <w:szCs w:val="24"/>
              </w:rPr>
            </w:pPr>
            <w:r w:rsidRPr="004D0385">
              <w:rPr>
                <w:rFonts w:cs="Arial"/>
                <w:bCs/>
                <w:szCs w:val="24"/>
              </w:rPr>
              <w:t>£m</w:t>
            </w:r>
          </w:p>
        </w:tc>
        <w:tc>
          <w:tcPr>
            <w:tcW w:w="1418" w:type="dxa"/>
          </w:tcPr>
          <w:p w14:paraId="711CB2FE" w14:textId="77777777" w:rsidR="00D40B9B" w:rsidRPr="004D0385" w:rsidRDefault="00D40B9B" w:rsidP="00D70643">
            <w:pPr>
              <w:jc w:val="both"/>
              <w:rPr>
                <w:rFonts w:cs="Arial"/>
                <w:bCs/>
                <w:szCs w:val="24"/>
              </w:rPr>
            </w:pPr>
            <w:r w:rsidRPr="004D0385">
              <w:rPr>
                <w:rFonts w:cs="Arial"/>
                <w:bCs/>
                <w:szCs w:val="24"/>
              </w:rPr>
              <w:t>£m</w:t>
            </w:r>
          </w:p>
        </w:tc>
        <w:tc>
          <w:tcPr>
            <w:tcW w:w="1417" w:type="dxa"/>
          </w:tcPr>
          <w:p w14:paraId="750BA604" w14:textId="77777777" w:rsidR="00D40B9B" w:rsidRPr="004D0385" w:rsidRDefault="00D40B9B" w:rsidP="00D70643">
            <w:pPr>
              <w:jc w:val="both"/>
              <w:rPr>
                <w:rFonts w:cs="Arial"/>
                <w:bCs/>
                <w:szCs w:val="24"/>
              </w:rPr>
            </w:pPr>
            <w:r w:rsidRPr="004D0385">
              <w:rPr>
                <w:rFonts w:cs="Arial"/>
                <w:bCs/>
                <w:szCs w:val="24"/>
              </w:rPr>
              <w:t>£m</w:t>
            </w:r>
          </w:p>
        </w:tc>
      </w:tr>
      <w:tr w:rsidR="00D40B9B" w:rsidRPr="00541497" w14:paraId="0C4A7AA0" w14:textId="77777777" w:rsidTr="00BA1AE1">
        <w:tc>
          <w:tcPr>
            <w:tcW w:w="3539" w:type="dxa"/>
          </w:tcPr>
          <w:p w14:paraId="4EAADC54" w14:textId="77777777" w:rsidR="00D40B9B" w:rsidRPr="004D0385" w:rsidRDefault="00D40B9B" w:rsidP="00D70643">
            <w:pPr>
              <w:rPr>
                <w:rFonts w:cs="Arial"/>
                <w:bCs/>
                <w:szCs w:val="24"/>
              </w:rPr>
            </w:pPr>
            <w:r w:rsidRPr="004D0385">
              <w:rPr>
                <w:rFonts w:cs="Arial"/>
                <w:bCs/>
                <w:szCs w:val="24"/>
              </w:rPr>
              <w:t xml:space="preserve">Capital Financing Requirement </w:t>
            </w:r>
          </w:p>
        </w:tc>
        <w:tc>
          <w:tcPr>
            <w:tcW w:w="1418" w:type="dxa"/>
          </w:tcPr>
          <w:p w14:paraId="0BD35C49" w14:textId="5233D4CE" w:rsidR="00D40B9B" w:rsidRPr="00624FA1" w:rsidRDefault="00624FA1" w:rsidP="00160CC2">
            <w:pPr>
              <w:jc w:val="right"/>
              <w:rPr>
                <w:rFonts w:cs="Arial"/>
                <w:bCs/>
                <w:szCs w:val="24"/>
              </w:rPr>
            </w:pPr>
            <w:r>
              <w:rPr>
                <w:rFonts w:cs="Arial"/>
                <w:bCs/>
                <w:szCs w:val="24"/>
              </w:rPr>
              <w:t>70.588</w:t>
            </w:r>
          </w:p>
        </w:tc>
        <w:tc>
          <w:tcPr>
            <w:tcW w:w="1417" w:type="dxa"/>
          </w:tcPr>
          <w:p w14:paraId="468800DC" w14:textId="2977BD93" w:rsidR="00D40B9B" w:rsidRPr="00624FA1" w:rsidRDefault="00624FA1" w:rsidP="00D70643">
            <w:pPr>
              <w:jc w:val="right"/>
              <w:rPr>
                <w:rFonts w:cs="Arial"/>
                <w:bCs/>
                <w:szCs w:val="24"/>
              </w:rPr>
            </w:pPr>
            <w:r>
              <w:rPr>
                <w:rFonts w:cs="Arial"/>
                <w:bCs/>
                <w:szCs w:val="24"/>
              </w:rPr>
              <w:t>93.655</w:t>
            </w:r>
          </w:p>
        </w:tc>
        <w:tc>
          <w:tcPr>
            <w:tcW w:w="1418" w:type="dxa"/>
          </w:tcPr>
          <w:p w14:paraId="6A95D56E" w14:textId="71B088F7" w:rsidR="00D40B9B" w:rsidRPr="00624FA1" w:rsidRDefault="00624FA1" w:rsidP="00D70643">
            <w:pPr>
              <w:jc w:val="right"/>
              <w:rPr>
                <w:rFonts w:cs="Arial"/>
                <w:bCs/>
                <w:szCs w:val="24"/>
              </w:rPr>
            </w:pPr>
            <w:r>
              <w:rPr>
                <w:rFonts w:cs="Arial"/>
                <w:bCs/>
                <w:szCs w:val="24"/>
              </w:rPr>
              <w:t>120.284</w:t>
            </w:r>
          </w:p>
        </w:tc>
        <w:tc>
          <w:tcPr>
            <w:tcW w:w="1417" w:type="dxa"/>
          </w:tcPr>
          <w:p w14:paraId="1129D12E" w14:textId="1C836065" w:rsidR="00D40B9B" w:rsidRPr="00624FA1" w:rsidRDefault="00624FA1" w:rsidP="00D70643">
            <w:pPr>
              <w:jc w:val="right"/>
              <w:rPr>
                <w:rFonts w:cs="Arial"/>
                <w:bCs/>
                <w:szCs w:val="24"/>
              </w:rPr>
            </w:pPr>
            <w:r>
              <w:rPr>
                <w:rFonts w:cs="Arial"/>
                <w:bCs/>
                <w:szCs w:val="24"/>
              </w:rPr>
              <w:t>151.469</w:t>
            </w:r>
          </w:p>
        </w:tc>
      </w:tr>
      <w:tr w:rsidR="00D40B9B" w:rsidRPr="00541497" w14:paraId="12D33F9F" w14:textId="77777777" w:rsidTr="00BA1AE1">
        <w:tc>
          <w:tcPr>
            <w:tcW w:w="3539" w:type="dxa"/>
          </w:tcPr>
          <w:p w14:paraId="204F0659" w14:textId="77777777" w:rsidR="00D40B9B" w:rsidRPr="004D0385" w:rsidRDefault="00D40B9B" w:rsidP="00D70643">
            <w:pPr>
              <w:rPr>
                <w:rFonts w:cs="Arial"/>
                <w:bCs/>
                <w:i/>
                <w:szCs w:val="24"/>
              </w:rPr>
            </w:pPr>
          </w:p>
        </w:tc>
        <w:tc>
          <w:tcPr>
            <w:tcW w:w="1418" w:type="dxa"/>
          </w:tcPr>
          <w:p w14:paraId="12B33CFB" w14:textId="77777777" w:rsidR="00D40B9B" w:rsidRPr="004D0385" w:rsidRDefault="00D40B9B" w:rsidP="00D70643">
            <w:pPr>
              <w:jc w:val="right"/>
              <w:rPr>
                <w:rFonts w:cs="Arial"/>
                <w:bCs/>
                <w:szCs w:val="24"/>
              </w:rPr>
            </w:pPr>
          </w:p>
        </w:tc>
        <w:tc>
          <w:tcPr>
            <w:tcW w:w="1417" w:type="dxa"/>
          </w:tcPr>
          <w:p w14:paraId="013728F4" w14:textId="77777777" w:rsidR="00D40B9B" w:rsidRPr="004D0385" w:rsidRDefault="00D40B9B" w:rsidP="00D70643">
            <w:pPr>
              <w:jc w:val="right"/>
              <w:rPr>
                <w:rFonts w:cs="Arial"/>
                <w:bCs/>
                <w:szCs w:val="24"/>
              </w:rPr>
            </w:pPr>
          </w:p>
        </w:tc>
        <w:tc>
          <w:tcPr>
            <w:tcW w:w="1418" w:type="dxa"/>
          </w:tcPr>
          <w:p w14:paraId="3C2ABBDC" w14:textId="77777777" w:rsidR="00D40B9B" w:rsidRPr="004D0385" w:rsidRDefault="00D40B9B" w:rsidP="00D70643">
            <w:pPr>
              <w:jc w:val="right"/>
              <w:rPr>
                <w:rFonts w:cs="Arial"/>
                <w:bCs/>
                <w:szCs w:val="24"/>
              </w:rPr>
            </w:pPr>
          </w:p>
        </w:tc>
        <w:tc>
          <w:tcPr>
            <w:tcW w:w="1417" w:type="dxa"/>
          </w:tcPr>
          <w:p w14:paraId="4E75A8A2" w14:textId="77777777" w:rsidR="00D40B9B" w:rsidRPr="004D0385" w:rsidRDefault="00D40B9B" w:rsidP="00D70643">
            <w:pPr>
              <w:jc w:val="right"/>
              <w:rPr>
                <w:rFonts w:cs="Arial"/>
                <w:bCs/>
                <w:szCs w:val="24"/>
              </w:rPr>
            </w:pPr>
          </w:p>
        </w:tc>
      </w:tr>
      <w:tr w:rsidR="00D40B9B" w:rsidRPr="00541497" w14:paraId="624760AA" w14:textId="77777777" w:rsidTr="00BA1AE1">
        <w:tc>
          <w:tcPr>
            <w:tcW w:w="3539" w:type="dxa"/>
          </w:tcPr>
          <w:p w14:paraId="4D3C7866" w14:textId="77777777" w:rsidR="00D40B9B" w:rsidRPr="00624FA1" w:rsidRDefault="00D40B9B" w:rsidP="00D70643">
            <w:pPr>
              <w:rPr>
                <w:rFonts w:cs="Arial"/>
                <w:bCs/>
                <w:i/>
                <w:szCs w:val="24"/>
              </w:rPr>
            </w:pPr>
            <w:r w:rsidRPr="004D0385">
              <w:rPr>
                <w:rFonts w:cs="Arial"/>
                <w:bCs/>
                <w:i/>
                <w:szCs w:val="24"/>
              </w:rPr>
              <w:t xml:space="preserve">Less </w:t>
            </w:r>
            <w:r w:rsidRPr="004D0385">
              <w:rPr>
                <w:rFonts w:cs="Arial"/>
                <w:bCs/>
                <w:szCs w:val="24"/>
              </w:rPr>
              <w:t>external borrowing</w:t>
            </w:r>
          </w:p>
        </w:tc>
        <w:tc>
          <w:tcPr>
            <w:tcW w:w="1418" w:type="dxa"/>
          </w:tcPr>
          <w:p w14:paraId="23E3BF64" w14:textId="425A38E1" w:rsidR="00D40B9B" w:rsidRPr="00470ED0" w:rsidRDefault="002C0451">
            <w:pPr>
              <w:jc w:val="right"/>
              <w:rPr>
                <w:rFonts w:cs="Arial"/>
                <w:bCs/>
                <w:szCs w:val="24"/>
              </w:rPr>
            </w:pPr>
            <w:r>
              <w:rPr>
                <w:rFonts w:cs="Arial"/>
                <w:bCs/>
                <w:szCs w:val="24"/>
              </w:rPr>
              <w:t>84.</w:t>
            </w:r>
            <w:r w:rsidR="00FE17CB">
              <w:rPr>
                <w:rFonts w:cs="Arial"/>
                <w:bCs/>
                <w:szCs w:val="24"/>
              </w:rPr>
              <w:t>442</w:t>
            </w:r>
          </w:p>
        </w:tc>
        <w:tc>
          <w:tcPr>
            <w:tcW w:w="1417" w:type="dxa"/>
          </w:tcPr>
          <w:p w14:paraId="73322D1A" w14:textId="1BABEB3D" w:rsidR="00D40B9B" w:rsidRPr="00470ED0" w:rsidRDefault="00470ED0" w:rsidP="00651864">
            <w:pPr>
              <w:jc w:val="right"/>
              <w:rPr>
                <w:rFonts w:cs="Arial"/>
                <w:bCs/>
                <w:szCs w:val="24"/>
              </w:rPr>
            </w:pPr>
            <w:r>
              <w:rPr>
                <w:rFonts w:cs="Arial"/>
                <w:bCs/>
                <w:szCs w:val="24"/>
              </w:rPr>
              <w:t>56.417</w:t>
            </w:r>
          </w:p>
        </w:tc>
        <w:tc>
          <w:tcPr>
            <w:tcW w:w="1418" w:type="dxa"/>
          </w:tcPr>
          <w:p w14:paraId="66F92D1D" w14:textId="2D6C39EF" w:rsidR="00D40B9B" w:rsidRPr="00470ED0" w:rsidRDefault="00470ED0" w:rsidP="00D70643">
            <w:pPr>
              <w:jc w:val="right"/>
              <w:rPr>
                <w:rFonts w:cs="Arial"/>
                <w:bCs/>
                <w:szCs w:val="24"/>
              </w:rPr>
            </w:pPr>
            <w:r>
              <w:rPr>
                <w:rFonts w:cs="Arial"/>
                <w:bCs/>
                <w:szCs w:val="24"/>
              </w:rPr>
              <w:t>40.538</w:t>
            </w:r>
          </w:p>
        </w:tc>
        <w:tc>
          <w:tcPr>
            <w:tcW w:w="1417" w:type="dxa"/>
          </w:tcPr>
          <w:p w14:paraId="00449651" w14:textId="2BF75733" w:rsidR="00D40B9B" w:rsidRPr="00470ED0" w:rsidRDefault="00470ED0" w:rsidP="00D70643">
            <w:pPr>
              <w:jc w:val="right"/>
              <w:rPr>
                <w:rFonts w:cs="Arial"/>
                <w:bCs/>
                <w:szCs w:val="24"/>
              </w:rPr>
            </w:pPr>
            <w:r>
              <w:rPr>
                <w:rFonts w:cs="Arial"/>
                <w:bCs/>
                <w:szCs w:val="24"/>
              </w:rPr>
              <w:t>39.363</w:t>
            </w:r>
          </w:p>
        </w:tc>
      </w:tr>
      <w:tr w:rsidR="00D40B9B" w:rsidRPr="00541497" w14:paraId="5E2461E6" w14:textId="77777777" w:rsidTr="00BA1AE1">
        <w:tc>
          <w:tcPr>
            <w:tcW w:w="3539" w:type="dxa"/>
            <w:shd w:val="clear" w:color="auto" w:fill="DBE5F1" w:themeFill="accent1" w:themeFillTint="33"/>
          </w:tcPr>
          <w:p w14:paraId="67543F49" w14:textId="77777777" w:rsidR="00D40B9B" w:rsidRPr="004D0385" w:rsidRDefault="00D40B9B" w:rsidP="00D70643">
            <w:pPr>
              <w:rPr>
                <w:rFonts w:cs="Arial"/>
                <w:bCs/>
                <w:szCs w:val="24"/>
              </w:rPr>
            </w:pPr>
            <w:r w:rsidRPr="004D0385">
              <w:rPr>
                <w:rFonts w:cs="Arial"/>
                <w:bCs/>
                <w:szCs w:val="24"/>
              </w:rPr>
              <w:t>Borrowing requirement</w:t>
            </w:r>
          </w:p>
        </w:tc>
        <w:tc>
          <w:tcPr>
            <w:tcW w:w="1418" w:type="dxa"/>
            <w:shd w:val="clear" w:color="auto" w:fill="DBE5F1" w:themeFill="accent1" w:themeFillTint="33"/>
          </w:tcPr>
          <w:p w14:paraId="260CC078" w14:textId="69B95159" w:rsidR="00D40B9B" w:rsidRPr="002C0451" w:rsidRDefault="007A0F10" w:rsidP="00D70643">
            <w:pPr>
              <w:jc w:val="right"/>
              <w:rPr>
                <w:rFonts w:cs="Arial"/>
                <w:bCs/>
                <w:szCs w:val="24"/>
              </w:rPr>
            </w:pPr>
            <w:r>
              <w:rPr>
                <w:rFonts w:cs="Arial"/>
                <w:bCs/>
                <w:szCs w:val="24"/>
              </w:rPr>
              <w:t>(13.854)</w:t>
            </w:r>
          </w:p>
        </w:tc>
        <w:tc>
          <w:tcPr>
            <w:tcW w:w="1417" w:type="dxa"/>
            <w:shd w:val="clear" w:color="auto" w:fill="DBE5F1" w:themeFill="accent1" w:themeFillTint="33"/>
          </w:tcPr>
          <w:p w14:paraId="5240731D" w14:textId="75DA5DB8" w:rsidR="00D40B9B" w:rsidRPr="004D0385" w:rsidRDefault="007A0F10" w:rsidP="00D70643">
            <w:pPr>
              <w:jc w:val="right"/>
              <w:rPr>
                <w:rFonts w:cs="Arial"/>
                <w:bCs/>
                <w:szCs w:val="24"/>
              </w:rPr>
            </w:pPr>
            <w:r>
              <w:rPr>
                <w:rFonts w:cs="Arial"/>
                <w:bCs/>
                <w:szCs w:val="24"/>
              </w:rPr>
              <w:t>37.238</w:t>
            </w:r>
          </w:p>
        </w:tc>
        <w:tc>
          <w:tcPr>
            <w:tcW w:w="1418" w:type="dxa"/>
            <w:shd w:val="clear" w:color="auto" w:fill="DBE5F1" w:themeFill="accent1" w:themeFillTint="33"/>
          </w:tcPr>
          <w:p w14:paraId="0D8D103B" w14:textId="029B3A6F" w:rsidR="00D40B9B" w:rsidRPr="004D0385" w:rsidRDefault="007A0F10" w:rsidP="00D70643">
            <w:pPr>
              <w:jc w:val="right"/>
              <w:rPr>
                <w:rFonts w:cs="Arial"/>
                <w:bCs/>
                <w:szCs w:val="24"/>
              </w:rPr>
            </w:pPr>
            <w:r>
              <w:rPr>
                <w:rFonts w:cs="Arial"/>
                <w:bCs/>
                <w:szCs w:val="24"/>
              </w:rPr>
              <w:t>79.746</w:t>
            </w:r>
          </w:p>
        </w:tc>
        <w:tc>
          <w:tcPr>
            <w:tcW w:w="1417" w:type="dxa"/>
            <w:shd w:val="clear" w:color="auto" w:fill="DBE5F1" w:themeFill="accent1" w:themeFillTint="33"/>
          </w:tcPr>
          <w:p w14:paraId="77B46219" w14:textId="683808ED" w:rsidR="00D40B9B" w:rsidRPr="004D0385" w:rsidRDefault="007A0F10" w:rsidP="00D70643">
            <w:pPr>
              <w:jc w:val="right"/>
              <w:rPr>
                <w:rFonts w:cs="Arial"/>
                <w:bCs/>
                <w:szCs w:val="24"/>
              </w:rPr>
            </w:pPr>
            <w:r>
              <w:rPr>
                <w:rFonts w:cs="Arial"/>
                <w:bCs/>
                <w:szCs w:val="24"/>
              </w:rPr>
              <w:t>112.106</w:t>
            </w:r>
          </w:p>
        </w:tc>
      </w:tr>
      <w:tr w:rsidR="00D40B9B" w:rsidRPr="00541497" w14:paraId="4FF6E7F3" w14:textId="77777777" w:rsidTr="00BA1AE1">
        <w:tc>
          <w:tcPr>
            <w:tcW w:w="3539" w:type="dxa"/>
          </w:tcPr>
          <w:p w14:paraId="34CCA878" w14:textId="77777777" w:rsidR="00D40B9B" w:rsidRPr="004D0385" w:rsidRDefault="00D40B9B" w:rsidP="00D70643">
            <w:pPr>
              <w:rPr>
                <w:rFonts w:cs="Arial"/>
                <w:bCs/>
                <w:szCs w:val="24"/>
              </w:rPr>
            </w:pPr>
          </w:p>
        </w:tc>
        <w:tc>
          <w:tcPr>
            <w:tcW w:w="1418" w:type="dxa"/>
          </w:tcPr>
          <w:p w14:paraId="2A67DD5C" w14:textId="77777777" w:rsidR="00D40B9B" w:rsidRPr="002C0451" w:rsidRDefault="00D40B9B" w:rsidP="00D70643">
            <w:pPr>
              <w:jc w:val="right"/>
              <w:rPr>
                <w:rFonts w:cs="Arial"/>
                <w:color w:val="000000"/>
                <w:szCs w:val="24"/>
              </w:rPr>
            </w:pPr>
          </w:p>
        </w:tc>
        <w:tc>
          <w:tcPr>
            <w:tcW w:w="1417" w:type="dxa"/>
          </w:tcPr>
          <w:p w14:paraId="6DA3DD1F" w14:textId="77777777" w:rsidR="00D40B9B" w:rsidRPr="004D0385" w:rsidRDefault="00D40B9B" w:rsidP="00D70643">
            <w:pPr>
              <w:jc w:val="right"/>
              <w:rPr>
                <w:rFonts w:cs="Arial"/>
                <w:bCs/>
                <w:szCs w:val="24"/>
              </w:rPr>
            </w:pPr>
          </w:p>
        </w:tc>
        <w:tc>
          <w:tcPr>
            <w:tcW w:w="1418" w:type="dxa"/>
          </w:tcPr>
          <w:p w14:paraId="4266F223" w14:textId="77777777" w:rsidR="00D40B9B" w:rsidRPr="004D0385" w:rsidRDefault="00D40B9B" w:rsidP="00D70643">
            <w:pPr>
              <w:jc w:val="right"/>
              <w:rPr>
                <w:rFonts w:cs="Arial"/>
                <w:bCs/>
                <w:szCs w:val="24"/>
              </w:rPr>
            </w:pPr>
          </w:p>
        </w:tc>
        <w:tc>
          <w:tcPr>
            <w:tcW w:w="1417" w:type="dxa"/>
          </w:tcPr>
          <w:p w14:paraId="0263F692" w14:textId="77777777" w:rsidR="00D40B9B" w:rsidRPr="004D0385" w:rsidRDefault="00D40B9B" w:rsidP="00D70643">
            <w:pPr>
              <w:jc w:val="right"/>
              <w:rPr>
                <w:rFonts w:cs="Arial"/>
                <w:bCs/>
                <w:szCs w:val="24"/>
              </w:rPr>
            </w:pPr>
          </w:p>
        </w:tc>
      </w:tr>
      <w:tr w:rsidR="00D40B9B" w:rsidRPr="00541497" w14:paraId="770467A3" w14:textId="77777777" w:rsidTr="00BA1AE1">
        <w:tc>
          <w:tcPr>
            <w:tcW w:w="3539" w:type="dxa"/>
          </w:tcPr>
          <w:p w14:paraId="4E2D35DD" w14:textId="77777777" w:rsidR="00D40B9B" w:rsidRPr="004D0385" w:rsidRDefault="00D40B9B" w:rsidP="00D70643">
            <w:pPr>
              <w:rPr>
                <w:rFonts w:cs="Arial"/>
                <w:bCs/>
                <w:szCs w:val="24"/>
              </w:rPr>
            </w:pPr>
            <w:r w:rsidRPr="004D0385">
              <w:rPr>
                <w:rFonts w:cs="Arial"/>
                <w:bCs/>
                <w:szCs w:val="24"/>
              </w:rPr>
              <w:t>Reserves and working capital</w:t>
            </w:r>
          </w:p>
        </w:tc>
        <w:tc>
          <w:tcPr>
            <w:tcW w:w="1418" w:type="dxa"/>
          </w:tcPr>
          <w:p w14:paraId="37782EEF" w14:textId="7012A3CB" w:rsidR="00D40B9B" w:rsidRPr="002C0451" w:rsidRDefault="000A6B2B" w:rsidP="00D70643">
            <w:pPr>
              <w:jc w:val="right"/>
              <w:rPr>
                <w:rFonts w:cs="Arial"/>
                <w:color w:val="000000"/>
                <w:szCs w:val="24"/>
              </w:rPr>
            </w:pPr>
            <w:r>
              <w:rPr>
                <w:rFonts w:cs="Arial"/>
                <w:color w:val="000000"/>
                <w:szCs w:val="24"/>
              </w:rPr>
              <w:t>(</w:t>
            </w:r>
            <w:r w:rsidR="00D17143">
              <w:rPr>
                <w:rFonts w:cs="Arial"/>
                <w:color w:val="000000"/>
                <w:szCs w:val="24"/>
              </w:rPr>
              <w:t>14.319</w:t>
            </w:r>
            <w:r>
              <w:rPr>
                <w:rFonts w:cs="Arial"/>
                <w:color w:val="000000"/>
                <w:szCs w:val="24"/>
              </w:rPr>
              <w:t>)</w:t>
            </w:r>
          </w:p>
        </w:tc>
        <w:tc>
          <w:tcPr>
            <w:tcW w:w="1417" w:type="dxa"/>
          </w:tcPr>
          <w:p w14:paraId="18AD63E3" w14:textId="0888D360" w:rsidR="00D40B9B" w:rsidRPr="004D0385" w:rsidRDefault="000A6B2B" w:rsidP="00D70643">
            <w:pPr>
              <w:jc w:val="right"/>
              <w:rPr>
                <w:rFonts w:cs="Arial"/>
                <w:bCs/>
                <w:szCs w:val="24"/>
              </w:rPr>
            </w:pPr>
            <w:r>
              <w:rPr>
                <w:rFonts w:cs="Arial"/>
                <w:bCs/>
                <w:szCs w:val="24"/>
              </w:rPr>
              <w:t>(</w:t>
            </w:r>
            <w:r w:rsidR="00D17143">
              <w:rPr>
                <w:rFonts w:cs="Arial"/>
                <w:bCs/>
                <w:szCs w:val="24"/>
              </w:rPr>
              <w:t>14.169</w:t>
            </w:r>
            <w:r>
              <w:rPr>
                <w:rFonts w:cs="Arial"/>
                <w:bCs/>
                <w:szCs w:val="24"/>
              </w:rPr>
              <w:t>)</w:t>
            </w:r>
          </w:p>
        </w:tc>
        <w:tc>
          <w:tcPr>
            <w:tcW w:w="1418" w:type="dxa"/>
          </w:tcPr>
          <w:p w14:paraId="4EDDC5DE" w14:textId="6113CFAA" w:rsidR="00D40B9B" w:rsidRPr="004D0385" w:rsidRDefault="000A6B2B" w:rsidP="00D70643">
            <w:pPr>
              <w:jc w:val="right"/>
              <w:rPr>
                <w:rFonts w:cs="Arial"/>
                <w:bCs/>
                <w:szCs w:val="24"/>
              </w:rPr>
            </w:pPr>
            <w:r>
              <w:rPr>
                <w:rFonts w:cs="Arial"/>
                <w:bCs/>
                <w:szCs w:val="24"/>
              </w:rPr>
              <w:t>(</w:t>
            </w:r>
            <w:r w:rsidR="00D17143">
              <w:rPr>
                <w:rFonts w:cs="Arial"/>
                <w:bCs/>
                <w:szCs w:val="24"/>
              </w:rPr>
              <w:t>13.919</w:t>
            </w:r>
            <w:r>
              <w:rPr>
                <w:rFonts w:cs="Arial"/>
                <w:bCs/>
                <w:szCs w:val="24"/>
              </w:rPr>
              <w:t>)</w:t>
            </w:r>
          </w:p>
        </w:tc>
        <w:tc>
          <w:tcPr>
            <w:tcW w:w="1417" w:type="dxa"/>
          </w:tcPr>
          <w:p w14:paraId="2CFCBDA7" w14:textId="6A0C4F5F" w:rsidR="00D40B9B" w:rsidRPr="004D0385" w:rsidRDefault="000A6B2B" w:rsidP="00D70643">
            <w:pPr>
              <w:jc w:val="right"/>
              <w:rPr>
                <w:rFonts w:cs="Arial"/>
                <w:bCs/>
                <w:szCs w:val="24"/>
              </w:rPr>
            </w:pPr>
            <w:r>
              <w:rPr>
                <w:rFonts w:cs="Arial"/>
                <w:bCs/>
                <w:szCs w:val="24"/>
              </w:rPr>
              <w:t>(</w:t>
            </w:r>
            <w:r w:rsidR="00D17143">
              <w:rPr>
                <w:rFonts w:cs="Arial"/>
                <w:bCs/>
                <w:szCs w:val="24"/>
              </w:rPr>
              <w:t>13.769</w:t>
            </w:r>
            <w:r>
              <w:rPr>
                <w:rFonts w:cs="Arial"/>
                <w:bCs/>
                <w:szCs w:val="24"/>
              </w:rPr>
              <w:t>)</w:t>
            </w:r>
          </w:p>
        </w:tc>
      </w:tr>
      <w:tr w:rsidR="00D40B9B" w:rsidRPr="00541497" w14:paraId="4372CF11" w14:textId="77777777" w:rsidTr="00BA1AE1">
        <w:tc>
          <w:tcPr>
            <w:tcW w:w="3539" w:type="dxa"/>
            <w:shd w:val="clear" w:color="auto" w:fill="DBE5F1" w:themeFill="accent1" w:themeFillTint="33"/>
          </w:tcPr>
          <w:p w14:paraId="7F08CC5A" w14:textId="77777777" w:rsidR="00D40B9B" w:rsidRPr="004D0385" w:rsidRDefault="00D40B9B" w:rsidP="00D70643">
            <w:pPr>
              <w:rPr>
                <w:rFonts w:cs="Arial"/>
                <w:bCs/>
                <w:szCs w:val="24"/>
              </w:rPr>
            </w:pPr>
            <w:r w:rsidRPr="004D0385">
              <w:rPr>
                <w:rFonts w:cs="Arial"/>
                <w:bCs/>
                <w:szCs w:val="24"/>
              </w:rPr>
              <w:t>Borrowing/(investment) need</w:t>
            </w:r>
          </w:p>
        </w:tc>
        <w:tc>
          <w:tcPr>
            <w:tcW w:w="1418" w:type="dxa"/>
            <w:shd w:val="clear" w:color="auto" w:fill="DBE5F1" w:themeFill="accent1" w:themeFillTint="33"/>
          </w:tcPr>
          <w:p w14:paraId="0F948784" w14:textId="62CEDCA7" w:rsidR="00D40B9B" w:rsidRPr="002C0451" w:rsidRDefault="000A6B2B" w:rsidP="00160CC2">
            <w:pPr>
              <w:jc w:val="right"/>
              <w:rPr>
                <w:rFonts w:cs="Arial"/>
                <w:bCs/>
                <w:szCs w:val="24"/>
              </w:rPr>
            </w:pPr>
            <w:r>
              <w:rPr>
                <w:rFonts w:cs="Arial"/>
                <w:bCs/>
                <w:szCs w:val="24"/>
              </w:rPr>
              <w:t>(28.173)</w:t>
            </w:r>
          </w:p>
        </w:tc>
        <w:tc>
          <w:tcPr>
            <w:tcW w:w="1417" w:type="dxa"/>
            <w:shd w:val="clear" w:color="auto" w:fill="DBE5F1" w:themeFill="accent1" w:themeFillTint="33"/>
          </w:tcPr>
          <w:p w14:paraId="501F9F4E" w14:textId="0E594DA8" w:rsidR="00D40B9B" w:rsidRPr="004D0385" w:rsidRDefault="000A6B2B" w:rsidP="00D70643">
            <w:pPr>
              <w:jc w:val="right"/>
              <w:rPr>
                <w:rFonts w:cs="Arial"/>
                <w:bCs/>
                <w:szCs w:val="24"/>
              </w:rPr>
            </w:pPr>
            <w:r>
              <w:rPr>
                <w:rFonts w:cs="Arial"/>
                <w:bCs/>
                <w:szCs w:val="24"/>
              </w:rPr>
              <w:t>23.069</w:t>
            </w:r>
          </w:p>
        </w:tc>
        <w:tc>
          <w:tcPr>
            <w:tcW w:w="1418" w:type="dxa"/>
            <w:shd w:val="clear" w:color="auto" w:fill="DBE5F1" w:themeFill="accent1" w:themeFillTint="33"/>
          </w:tcPr>
          <w:p w14:paraId="682F50B2" w14:textId="41412C44" w:rsidR="00D40B9B" w:rsidRPr="004D0385" w:rsidRDefault="000A6B2B" w:rsidP="00D70643">
            <w:pPr>
              <w:jc w:val="right"/>
              <w:rPr>
                <w:rFonts w:cs="Arial"/>
                <w:bCs/>
                <w:szCs w:val="24"/>
              </w:rPr>
            </w:pPr>
            <w:r>
              <w:rPr>
                <w:rFonts w:cs="Arial"/>
                <w:bCs/>
                <w:szCs w:val="24"/>
              </w:rPr>
              <w:t>65.827</w:t>
            </w:r>
          </w:p>
        </w:tc>
        <w:tc>
          <w:tcPr>
            <w:tcW w:w="1417" w:type="dxa"/>
            <w:shd w:val="clear" w:color="auto" w:fill="DBE5F1" w:themeFill="accent1" w:themeFillTint="33"/>
          </w:tcPr>
          <w:p w14:paraId="7A37A2F0" w14:textId="1A2EAC20" w:rsidR="00D40B9B" w:rsidRPr="004D0385" w:rsidRDefault="000A6B2B" w:rsidP="00D70643">
            <w:pPr>
              <w:jc w:val="right"/>
              <w:rPr>
                <w:rFonts w:cs="Arial"/>
                <w:bCs/>
                <w:szCs w:val="24"/>
              </w:rPr>
            </w:pPr>
            <w:r>
              <w:rPr>
                <w:rFonts w:cs="Arial"/>
                <w:bCs/>
                <w:szCs w:val="24"/>
              </w:rPr>
              <w:t>98.337</w:t>
            </w:r>
          </w:p>
        </w:tc>
      </w:tr>
    </w:tbl>
    <w:p w14:paraId="267E9F03" w14:textId="77777777" w:rsidR="00D75968" w:rsidRPr="00532091" w:rsidRDefault="00046582" w:rsidP="00246955">
      <w:pPr>
        <w:spacing w:after="240"/>
        <w:rPr>
          <w:szCs w:val="24"/>
        </w:rPr>
      </w:pPr>
      <w:r w:rsidRPr="00532091">
        <w:rPr>
          <w:szCs w:val="24"/>
        </w:rPr>
        <w:t>.</w:t>
      </w:r>
    </w:p>
    <w:p w14:paraId="62A6F5C7" w14:textId="44A42D06" w:rsidR="00355C94" w:rsidRPr="00B1172E" w:rsidRDefault="00355C94" w:rsidP="00246955">
      <w:pPr>
        <w:spacing w:after="240"/>
        <w:rPr>
          <w:szCs w:val="24"/>
        </w:rPr>
      </w:pPr>
      <w:r w:rsidRPr="00B1172E">
        <w:rPr>
          <w:szCs w:val="24"/>
        </w:rPr>
        <w:t xml:space="preserve">The underlying need to borrow </w:t>
      </w:r>
      <w:r w:rsidR="00B1172E">
        <w:rPr>
          <w:szCs w:val="24"/>
        </w:rPr>
        <w:t xml:space="preserve">in the long term </w:t>
      </w:r>
      <w:r w:rsidRPr="00B1172E">
        <w:rPr>
          <w:szCs w:val="24"/>
        </w:rPr>
        <w:t>is greater than the actual borrowing as shown by the comparison of the CFR and actual debt in the graph below.</w:t>
      </w:r>
    </w:p>
    <w:p w14:paraId="3A2FBC45" w14:textId="0A521370" w:rsidR="00355C94" w:rsidRPr="0052569D" w:rsidRDefault="00355C94" w:rsidP="00246955">
      <w:pPr>
        <w:spacing w:after="240"/>
        <w:rPr>
          <w:szCs w:val="24"/>
          <w:highlight w:val="yellow"/>
        </w:rPr>
      </w:pPr>
    </w:p>
    <w:p w14:paraId="545668E6" w14:textId="48CE846D" w:rsidR="00355C94" w:rsidRDefault="002C0451" w:rsidP="00246955">
      <w:pPr>
        <w:spacing w:after="240"/>
        <w:rPr>
          <w:szCs w:val="24"/>
          <w:highlight w:val="yellow"/>
        </w:rPr>
      </w:pPr>
      <w:r>
        <w:rPr>
          <w:noProof/>
        </w:rPr>
        <w:lastRenderedPageBreak/>
        <w:drawing>
          <wp:inline distT="0" distB="0" distL="0" distR="0" wp14:anchorId="35BB15A7" wp14:editId="79968FE6">
            <wp:extent cx="6480175" cy="3060700"/>
            <wp:effectExtent l="0" t="0" r="15875"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479B143" w14:textId="77777777" w:rsidR="00470ED0" w:rsidRPr="0052569D" w:rsidRDefault="00470ED0" w:rsidP="00246955">
      <w:pPr>
        <w:spacing w:after="240"/>
        <w:rPr>
          <w:szCs w:val="24"/>
          <w:highlight w:val="yellow"/>
        </w:rPr>
      </w:pPr>
    </w:p>
    <w:p w14:paraId="1203247C" w14:textId="5356F4E7" w:rsidR="00F35312" w:rsidRPr="002C0451" w:rsidRDefault="00787CF6" w:rsidP="00246955">
      <w:pPr>
        <w:spacing w:after="240"/>
        <w:rPr>
          <w:szCs w:val="24"/>
        </w:rPr>
      </w:pPr>
      <w:r w:rsidRPr="00470ED0">
        <w:rPr>
          <w:szCs w:val="24"/>
        </w:rPr>
        <w:t xml:space="preserve">The </w:t>
      </w:r>
      <w:r w:rsidR="001528C6" w:rsidRPr="00470ED0">
        <w:rPr>
          <w:szCs w:val="24"/>
        </w:rPr>
        <w:t>table shows that there will be a need for borrowing</w:t>
      </w:r>
      <w:r w:rsidR="00E67BAD" w:rsidRPr="00470ED0">
        <w:rPr>
          <w:szCs w:val="24"/>
        </w:rPr>
        <w:t xml:space="preserve"> even after the use of internal resources.</w:t>
      </w:r>
    </w:p>
    <w:p w14:paraId="13A551AA" w14:textId="77777777" w:rsidR="00115EE2" w:rsidRPr="0052569D" w:rsidRDefault="00115EE2" w:rsidP="00115EE2">
      <w:pPr>
        <w:jc w:val="both"/>
        <w:rPr>
          <w:rFonts w:cs="Arial"/>
          <w:sz w:val="22"/>
          <w:szCs w:val="22"/>
          <w:highlight w:val="yellow"/>
        </w:rPr>
      </w:pPr>
    </w:p>
    <w:p w14:paraId="483AA9F8" w14:textId="3C0B643B" w:rsidR="00115EE2" w:rsidRPr="0052569D" w:rsidRDefault="00115EE2" w:rsidP="005E0478">
      <w:pPr>
        <w:pStyle w:val="BodyTextIndent"/>
        <w:ind w:left="0" w:firstLine="0"/>
        <w:rPr>
          <w:rFonts w:ascii="Arial" w:hAnsi="Arial" w:cs="Arial"/>
          <w:b/>
          <w:szCs w:val="24"/>
        </w:rPr>
      </w:pPr>
      <w:r w:rsidRPr="00230E2D">
        <w:rPr>
          <w:rFonts w:ascii="Arial" w:hAnsi="Arial" w:cs="Arial"/>
          <w:b/>
          <w:szCs w:val="24"/>
        </w:rPr>
        <w:t>Borrowing Strategy</w:t>
      </w:r>
    </w:p>
    <w:p w14:paraId="1C110EB7" w14:textId="20F3D35B" w:rsidR="00F72676" w:rsidRDefault="00F72676" w:rsidP="005E0478">
      <w:pPr>
        <w:pStyle w:val="BodyTextIndent"/>
        <w:ind w:left="0" w:firstLine="0"/>
        <w:rPr>
          <w:rFonts w:ascii="Arial" w:hAnsi="Arial" w:cs="Arial"/>
          <w:b/>
          <w:szCs w:val="24"/>
          <w:highlight w:val="yellow"/>
        </w:rPr>
      </w:pPr>
    </w:p>
    <w:p w14:paraId="0D976650" w14:textId="7AA560F9" w:rsidR="00674D2E" w:rsidRPr="00532091" w:rsidRDefault="001D1040" w:rsidP="005E0478">
      <w:pPr>
        <w:pStyle w:val="BodyTextIndent"/>
        <w:ind w:left="0" w:firstLine="0"/>
        <w:rPr>
          <w:rFonts w:ascii="Arial" w:hAnsi="Arial" w:cs="Arial"/>
          <w:szCs w:val="24"/>
        </w:rPr>
      </w:pPr>
      <w:r w:rsidRPr="00532091">
        <w:rPr>
          <w:rFonts w:ascii="Arial" w:hAnsi="Arial" w:cs="Arial"/>
          <w:szCs w:val="24"/>
        </w:rPr>
        <w:t xml:space="preserve">The data shown above demonstrates that the Commissioner does have a significant borrowing requirement both in the short and long term. This requirement could be met by taking a series of </w:t>
      </w:r>
      <w:r w:rsidR="00EE76B8" w:rsidRPr="00532091">
        <w:rPr>
          <w:rFonts w:ascii="Arial" w:hAnsi="Arial" w:cs="Arial"/>
          <w:szCs w:val="24"/>
        </w:rPr>
        <w:t>long-term</w:t>
      </w:r>
      <w:r w:rsidRPr="00532091">
        <w:rPr>
          <w:rFonts w:ascii="Arial" w:hAnsi="Arial" w:cs="Arial"/>
          <w:szCs w:val="24"/>
        </w:rPr>
        <w:t xml:space="preserve"> loans. However, this </w:t>
      </w:r>
      <w:r w:rsidR="0052569D">
        <w:rPr>
          <w:rFonts w:ascii="Arial" w:hAnsi="Arial" w:cs="Arial"/>
          <w:szCs w:val="24"/>
        </w:rPr>
        <w:t>may be</w:t>
      </w:r>
      <w:r w:rsidR="0052569D" w:rsidRPr="00532091">
        <w:rPr>
          <w:rFonts w:ascii="Arial" w:hAnsi="Arial" w:cs="Arial"/>
          <w:szCs w:val="24"/>
        </w:rPr>
        <w:t xml:space="preserve"> </w:t>
      </w:r>
      <w:r w:rsidRPr="00532091">
        <w:rPr>
          <w:rFonts w:ascii="Arial" w:hAnsi="Arial" w:cs="Arial"/>
          <w:szCs w:val="24"/>
        </w:rPr>
        <w:t xml:space="preserve">too simplistic approach as there </w:t>
      </w:r>
      <w:r w:rsidR="003A2427" w:rsidRPr="00532091">
        <w:rPr>
          <w:rFonts w:ascii="Arial" w:hAnsi="Arial" w:cs="Arial"/>
          <w:szCs w:val="24"/>
        </w:rPr>
        <w:t>will</w:t>
      </w:r>
      <w:r w:rsidRPr="00532091">
        <w:rPr>
          <w:rFonts w:ascii="Arial" w:hAnsi="Arial" w:cs="Arial"/>
          <w:szCs w:val="24"/>
        </w:rPr>
        <w:t xml:space="preserve"> be </w:t>
      </w:r>
      <w:r w:rsidR="003A2427" w:rsidRPr="00532091">
        <w:rPr>
          <w:rFonts w:ascii="Arial" w:hAnsi="Arial" w:cs="Arial"/>
          <w:szCs w:val="24"/>
        </w:rPr>
        <w:t xml:space="preserve">some internal resources that could be used to replace borrowing especially as </w:t>
      </w:r>
      <w:r w:rsidR="0052569D">
        <w:rPr>
          <w:rFonts w:ascii="Arial" w:hAnsi="Arial" w:cs="Arial"/>
          <w:szCs w:val="24"/>
        </w:rPr>
        <w:t xml:space="preserve">the receipt of </w:t>
      </w:r>
      <w:r w:rsidR="003A2427" w:rsidRPr="00532091">
        <w:rPr>
          <w:rFonts w:ascii="Arial" w:hAnsi="Arial" w:cs="Arial"/>
          <w:szCs w:val="24"/>
        </w:rPr>
        <w:t>income is not even during the year. The diagram below shows the cashflow forecasts for 2021/22 before any further borrowing decisions are taken:</w:t>
      </w:r>
    </w:p>
    <w:p w14:paraId="43A2B483" w14:textId="52E3BBCB" w:rsidR="003A2427" w:rsidRPr="00532091" w:rsidRDefault="003A2427" w:rsidP="005E0478">
      <w:pPr>
        <w:pStyle w:val="BodyTextIndent"/>
        <w:ind w:left="0" w:firstLine="0"/>
        <w:rPr>
          <w:rFonts w:ascii="Arial" w:hAnsi="Arial" w:cs="Arial"/>
          <w:szCs w:val="24"/>
          <w:highlight w:val="yellow"/>
        </w:rPr>
      </w:pPr>
    </w:p>
    <w:p w14:paraId="05A838EF" w14:textId="4A29B487" w:rsidR="003A2427" w:rsidRDefault="003A2427" w:rsidP="005E0478">
      <w:pPr>
        <w:pStyle w:val="BodyTextIndent"/>
        <w:ind w:left="0" w:firstLine="0"/>
        <w:rPr>
          <w:rFonts w:ascii="Arial" w:hAnsi="Arial" w:cs="Arial"/>
          <w:b/>
          <w:szCs w:val="24"/>
          <w:highlight w:val="yellow"/>
        </w:rPr>
      </w:pPr>
      <w:r>
        <w:rPr>
          <w:noProof/>
        </w:rPr>
        <w:drawing>
          <wp:inline distT="0" distB="0" distL="0" distR="0" wp14:anchorId="3CFF7656" wp14:editId="5C1DDE8F">
            <wp:extent cx="6480175" cy="3656330"/>
            <wp:effectExtent l="0" t="0" r="15875" b="12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9BC883C" w14:textId="7AF8AE00" w:rsidR="003A2427" w:rsidRDefault="003A2427" w:rsidP="005E0478">
      <w:pPr>
        <w:pStyle w:val="BodyTextIndent"/>
        <w:ind w:left="0" w:firstLine="0"/>
        <w:rPr>
          <w:rFonts w:ascii="Arial" w:hAnsi="Arial" w:cs="Arial"/>
          <w:b/>
          <w:szCs w:val="24"/>
          <w:highlight w:val="yellow"/>
        </w:rPr>
      </w:pPr>
    </w:p>
    <w:p w14:paraId="31382A37" w14:textId="4A1DCB1C" w:rsidR="003A2427" w:rsidRDefault="003A2427" w:rsidP="005E0478">
      <w:pPr>
        <w:pStyle w:val="BodyTextIndent"/>
        <w:ind w:left="0" w:firstLine="0"/>
        <w:rPr>
          <w:rFonts w:ascii="Arial" w:hAnsi="Arial" w:cs="Arial"/>
          <w:b/>
          <w:szCs w:val="24"/>
          <w:highlight w:val="yellow"/>
        </w:rPr>
      </w:pPr>
    </w:p>
    <w:p w14:paraId="2933322E" w14:textId="786D107C" w:rsidR="00355C94" w:rsidRPr="0052569D" w:rsidRDefault="000F45C6" w:rsidP="00AC1568">
      <w:pPr>
        <w:jc w:val="both"/>
        <w:rPr>
          <w:rFonts w:cs="Arial"/>
          <w:szCs w:val="24"/>
          <w:highlight w:val="yellow"/>
          <w:lang w:val="en-US"/>
        </w:rPr>
      </w:pPr>
      <w:r w:rsidRPr="00532091">
        <w:rPr>
          <w:rFonts w:cs="Arial"/>
          <w:szCs w:val="24"/>
        </w:rPr>
        <w:t xml:space="preserve">The graph illustrates there are times when cash flow is positive and therefore </w:t>
      </w:r>
      <w:r w:rsidR="00EE76B8" w:rsidRPr="00532091">
        <w:rPr>
          <w:rFonts w:cs="Arial"/>
          <w:szCs w:val="24"/>
        </w:rPr>
        <w:t>short-term</w:t>
      </w:r>
      <w:r w:rsidRPr="00532091">
        <w:rPr>
          <w:rFonts w:cs="Arial"/>
          <w:szCs w:val="24"/>
        </w:rPr>
        <w:t xml:space="preserve"> loans could be used to </w:t>
      </w:r>
      <w:r w:rsidR="0015224C">
        <w:rPr>
          <w:rFonts w:cs="Arial"/>
          <w:szCs w:val="24"/>
        </w:rPr>
        <w:t xml:space="preserve">meet the </w:t>
      </w:r>
      <w:r w:rsidRPr="00532091">
        <w:rPr>
          <w:rFonts w:cs="Arial"/>
          <w:szCs w:val="24"/>
        </w:rPr>
        <w:t xml:space="preserve">borrowing need in the year. However, as capital expenditure is incurred over the next few years this will becoming increasingly difficult. </w:t>
      </w:r>
    </w:p>
    <w:p w14:paraId="2C18E5B4" w14:textId="77777777" w:rsidR="00355C94" w:rsidRPr="0052569D" w:rsidRDefault="00355C94" w:rsidP="00AC1568">
      <w:pPr>
        <w:jc w:val="both"/>
        <w:rPr>
          <w:rFonts w:cs="Arial"/>
          <w:szCs w:val="24"/>
          <w:highlight w:val="yellow"/>
          <w:lang w:val="en-US"/>
        </w:rPr>
      </w:pPr>
    </w:p>
    <w:p w14:paraId="30E11829" w14:textId="1C263495" w:rsidR="000F45C6" w:rsidRPr="0052569D" w:rsidRDefault="00C406BA" w:rsidP="00AC1568">
      <w:pPr>
        <w:jc w:val="both"/>
        <w:rPr>
          <w:rFonts w:cs="Arial"/>
          <w:szCs w:val="24"/>
          <w:lang w:val="en-US"/>
        </w:rPr>
      </w:pPr>
      <w:r w:rsidRPr="000F45C6">
        <w:rPr>
          <w:rFonts w:cs="Arial"/>
          <w:szCs w:val="24"/>
          <w:lang w:val="en-US"/>
        </w:rPr>
        <w:t xml:space="preserve">It is </w:t>
      </w:r>
      <w:r w:rsidR="000F45C6" w:rsidRPr="0052569D">
        <w:rPr>
          <w:rFonts w:cs="Arial"/>
          <w:szCs w:val="24"/>
          <w:lang w:val="en-US"/>
        </w:rPr>
        <w:t xml:space="preserve">therefore </w:t>
      </w:r>
      <w:r w:rsidRPr="000F45C6">
        <w:rPr>
          <w:rFonts w:cs="Arial"/>
          <w:szCs w:val="24"/>
          <w:lang w:val="en-US"/>
        </w:rPr>
        <w:t>anticipated that the borrowing</w:t>
      </w:r>
      <w:r w:rsidR="000F45C6" w:rsidRPr="0052569D">
        <w:rPr>
          <w:rFonts w:cs="Arial"/>
          <w:szCs w:val="24"/>
          <w:lang w:val="en-US"/>
        </w:rPr>
        <w:t xml:space="preserve"> strategy</w:t>
      </w:r>
      <w:r w:rsidR="00241FE9">
        <w:rPr>
          <w:rFonts w:cs="Arial"/>
          <w:szCs w:val="24"/>
          <w:lang w:val="en-US"/>
        </w:rPr>
        <w:t xml:space="preserve"> </w:t>
      </w:r>
      <w:r w:rsidRPr="000F45C6">
        <w:rPr>
          <w:rFonts w:cs="Arial"/>
          <w:szCs w:val="24"/>
          <w:lang w:val="en-US"/>
        </w:rPr>
        <w:t xml:space="preserve">will be </w:t>
      </w:r>
      <w:r w:rsidR="000F45C6" w:rsidRPr="0052569D">
        <w:rPr>
          <w:rFonts w:cs="Arial"/>
          <w:szCs w:val="24"/>
          <w:lang w:val="en-US"/>
        </w:rPr>
        <w:t xml:space="preserve">to </w:t>
      </w:r>
      <w:r w:rsidRPr="000F45C6">
        <w:rPr>
          <w:rFonts w:cs="Arial"/>
          <w:szCs w:val="24"/>
          <w:lang w:val="en-US"/>
        </w:rPr>
        <w:t>me</w:t>
      </w:r>
      <w:r w:rsidR="000F45C6" w:rsidRPr="0052569D">
        <w:rPr>
          <w:rFonts w:cs="Arial"/>
          <w:szCs w:val="24"/>
          <w:lang w:val="en-US"/>
        </w:rPr>
        <w:t>e</w:t>
      </w:r>
      <w:r w:rsidRPr="000F45C6">
        <w:rPr>
          <w:rFonts w:cs="Arial"/>
          <w:szCs w:val="24"/>
          <w:lang w:val="en-US"/>
        </w:rPr>
        <w:t xml:space="preserve">t </w:t>
      </w:r>
      <w:r w:rsidR="000F45C6" w:rsidRPr="0052569D">
        <w:rPr>
          <w:rFonts w:cs="Arial"/>
          <w:szCs w:val="24"/>
          <w:lang w:val="en-US"/>
        </w:rPr>
        <w:t xml:space="preserve">requirements </w:t>
      </w:r>
      <w:r w:rsidRPr="000F45C6">
        <w:rPr>
          <w:rFonts w:cs="Arial"/>
          <w:szCs w:val="24"/>
          <w:lang w:val="en-US"/>
        </w:rPr>
        <w:t>by a mixture of long and short</w:t>
      </w:r>
      <w:r w:rsidR="00EE76B8">
        <w:rPr>
          <w:rFonts w:cs="Arial"/>
          <w:szCs w:val="24"/>
          <w:lang w:val="en-US"/>
        </w:rPr>
        <w:t>-</w:t>
      </w:r>
      <w:r w:rsidRPr="000F45C6">
        <w:rPr>
          <w:rFonts w:cs="Arial"/>
          <w:szCs w:val="24"/>
          <w:lang w:val="en-US"/>
        </w:rPr>
        <w:t xml:space="preserve">term borrowing. Short term borrowing is generally cheaper in year but there is the risk that future replacement loans will be more expensive. </w:t>
      </w:r>
      <w:r w:rsidR="00EE76B8" w:rsidRPr="000F45C6">
        <w:rPr>
          <w:rFonts w:cs="Arial"/>
          <w:szCs w:val="24"/>
          <w:lang w:val="en-US"/>
        </w:rPr>
        <w:t>Therefore,</w:t>
      </w:r>
      <w:r w:rsidRPr="000F45C6">
        <w:rPr>
          <w:rFonts w:cs="Arial"/>
          <w:szCs w:val="24"/>
          <w:lang w:val="en-US"/>
        </w:rPr>
        <w:t xml:space="preserve"> consideration will be given to </w:t>
      </w:r>
      <w:r w:rsidR="00315FE3">
        <w:rPr>
          <w:rFonts w:cs="Arial"/>
          <w:szCs w:val="24"/>
          <w:lang w:val="en-US"/>
        </w:rPr>
        <w:t xml:space="preserve">both </w:t>
      </w:r>
      <w:r w:rsidR="000F45C6" w:rsidRPr="0052569D">
        <w:rPr>
          <w:rFonts w:cs="Arial"/>
          <w:szCs w:val="24"/>
          <w:lang w:val="en-US"/>
        </w:rPr>
        <w:t xml:space="preserve">debt </w:t>
      </w:r>
      <w:r w:rsidR="00315FE3">
        <w:rPr>
          <w:rFonts w:cs="Arial"/>
          <w:szCs w:val="24"/>
          <w:lang w:val="en-US"/>
        </w:rPr>
        <w:t>m</w:t>
      </w:r>
      <w:r w:rsidR="000F45C6" w:rsidRPr="0052569D">
        <w:rPr>
          <w:rFonts w:cs="Arial"/>
          <w:szCs w:val="24"/>
          <w:lang w:val="en-US"/>
        </w:rPr>
        <w:t xml:space="preserve">aturity profile and </w:t>
      </w:r>
      <w:r w:rsidRPr="000F45C6">
        <w:rPr>
          <w:rFonts w:cs="Arial"/>
          <w:szCs w:val="24"/>
          <w:lang w:val="en-US"/>
        </w:rPr>
        <w:t>the</w:t>
      </w:r>
      <w:r w:rsidR="007D7A88" w:rsidRPr="000F45C6">
        <w:rPr>
          <w:rFonts w:cs="Arial"/>
          <w:szCs w:val="24"/>
          <w:lang w:val="en-US"/>
        </w:rPr>
        <w:t xml:space="preserve"> latest </w:t>
      </w:r>
      <w:r w:rsidRPr="000F45C6">
        <w:rPr>
          <w:rFonts w:cs="Arial"/>
          <w:szCs w:val="24"/>
          <w:lang w:val="en-US"/>
        </w:rPr>
        <w:t xml:space="preserve">interest rate </w:t>
      </w:r>
      <w:r w:rsidR="007D7A88" w:rsidRPr="000F45C6">
        <w:rPr>
          <w:rFonts w:cs="Arial"/>
          <w:szCs w:val="24"/>
          <w:lang w:val="en-US"/>
        </w:rPr>
        <w:t xml:space="preserve">forecasts </w:t>
      </w:r>
      <w:r w:rsidRPr="000F45C6">
        <w:rPr>
          <w:rFonts w:cs="Arial"/>
          <w:szCs w:val="24"/>
          <w:lang w:val="en-US"/>
        </w:rPr>
        <w:t>to assess whether long or short</w:t>
      </w:r>
      <w:r w:rsidR="00915E71">
        <w:rPr>
          <w:rFonts w:cs="Arial"/>
          <w:szCs w:val="24"/>
          <w:lang w:val="en-US"/>
        </w:rPr>
        <w:t>-</w:t>
      </w:r>
      <w:r w:rsidRPr="000F45C6">
        <w:rPr>
          <w:rFonts w:cs="Arial"/>
          <w:szCs w:val="24"/>
          <w:lang w:val="en-US"/>
        </w:rPr>
        <w:t xml:space="preserve">term borrowing is </w:t>
      </w:r>
      <w:r w:rsidRPr="00315FE3">
        <w:rPr>
          <w:rFonts w:cs="Arial"/>
          <w:szCs w:val="24"/>
          <w:lang w:val="en-US"/>
        </w:rPr>
        <w:t xml:space="preserve">taken. </w:t>
      </w:r>
    </w:p>
    <w:p w14:paraId="36FAED52" w14:textId="77777777" w:rsidR="000F45C6" w:rsidRDefault="000F45C6" w:rsidP="00AC1568">
      <w:pPr>
        <w:jc w:val="both"/>
        <w:rPr>
          <w:rFonts w:cs="Arial"/>
          <w:szCs w:val="24"/>
          <w:highlight w:val="yellow"/>
          <w:lang w:val="en-US"/>
        </w:rPr>
      </w:pPr>
    </w:p>
    <w:p w14:paraId="05A59DC3" w14:textId="7BA7D19D" w:rsidR="000F45C6" w:rsidRDefault="009305DB" w:rsidP="00AC1568">
      <w:pPr>
        <w:jc w:val="both"/>
        <w:rPr>
          <w:rFonts w:cs="Arial"/>
          <w:szCs w:val="24"/>
          <w:lang w:val="en-US"/>
        </w:rPr>
      </w:pPr>
      <w:r w:rsidRPr="0052569D">
        <w:rPr>
          <w:rFonts w:cs="Arial"/>
          <w:szCs w:val="24"/>
          <w:lang w:val="en-US"/>
        </w:rPr>
        <w:t xml:space="preserve">The table below shows the maturity profile of the existing debt in 2021/22 </w:t>
      </w:r>
    </w:p>
    <w:p w14:paraId="707A1D52" w14:textId="2A1D9DAC" w:rsidR="009305DB" w:rsidRPr="0052569D" w:rsidRDefault="009305DB" w:rsidP="00AC1568">
      <w:pPr>
        <w:jc w:val="both"/>
        <w:rPr>
          <w:rFonts w:cs="Arial"/>
          <w:szCs w:val="24"/>
          <w:lang w:val="en-US"/>
        </w:rPr>
      </w:pPr>
    </w:p>
    <w:tbl>
      <w:tblPr>
        <w:tblStyle w:val="TableGrid"/>
        <w:tblW w:w="0" w:type="auto"/>
        <w:tblLook w:val="04A0" w:firstRow="1" w:lastRow="0" w:firstColumn="1" w:lastColumn="0" w:noHBand="0" w:noVBand="1"/>
      </w:tblPr>
      <w:tblGrid>
        <w:gridCol w:w="2548"/>
        <w:gridCol w:w="2549"/>
        <w:gridCol w:w="2549"/>
      </w:tblGrid>
      <w:tr w:rsidR="009305DB" w:rsidRPr="0052569D" w14:paraId="00E6BA52" w14:textId="622A8D63" w:rsidTr="009305DB">
        <w:tc>
          <w:tcPr>
            <w:tcW w:w="2548" w:type="dxa"/>
          </w:tcPr>
          <w:p w14:paraId="33D84509" w14:textId="32E469E8" w:rsidR="009305DB" w:rsidRPr="0052569D" w:rsidRDefault="009305DB" w:rsidP="00AC1568">
            <w:pPr>
              <w:jc w:val="both"/>
              <w:rPr>
                <w:rFonts w:cs="Arial"/>
                <w:szCs w:val="24"/>
                <w:lang w:val="en-US"/>
              </w:rPr>
            </w:pPr>
            <w:r w:rsidRPr="0052569D">
              <w:rPr>
                <w:rFonts w:cs="Arial"/>
                <w:szCs w:val="24"/>
                <w:lang w:val="en-US"/>
              </w:rPr>
              <w:t>Years to maturity from 1.4.21</w:t>
            </w:r>
          </w:p>
          <w:p w14:paraId="0BBCCF06" w14:textId="1A651B62" w:rsidR="009305DB" w:rsidRPr="0052569D" w:rsidRDefault="009305DB" w:rsidP="00AC1568">
            <w:pPr>
              <w:jc w:val="both"/>
              <w:rPr>
                <w:rFonts w:cs="Arial"/>
                <w:szCs w:val="24"/>
                <w:lang w:val="en-US"/>
              </w:rPr>
            </w:pPr>
          </w:p>
        </w:tc>
        <w:tc>
          <w:tcPr>
            <w:tcW w:w="2549" w:type="dxa"/>
          </w:tcPr>
          <w:p w14:paraId="655ECCE1" w14:textId="3AB7AD00" w:rsidR="009305DB" w:rsidRPr="0052569D" w:rsidRDefault="009305DB" w:rsidP="00AC1568">
            <w:pPr>
              <w:jc w:val="both"/>
              <w:rPr>
                <w:rFonts w:cs="Arial"/>
                <w:szCs w:val="24"/>
                <w:lang w:val="en-US"/>
              </w:rPr>
            </w:pPr>
            <w:r w:rsidRPr="0052569D">
              <w:rPr>
                <w:rFonts w:cs="Arial"/>
                <w:szCs w:val="24"/>
                <w:lang w:val="en-US"/>
              </w:rPr>
              <w:t>Debt £m</w:t>
            </w:r>
          </w:p>
        </w:tc>
        <w:tc>
          <w:tcPr>
            <w:tcW w:w="2549" w:type="dxa"/>
          </w:tcPr>
          <w:p w14:paraId="157EF3AC" w14:textId="08299750" w:rsidR="009305DB" w:rsidRPr="0052569D" w:rsidRDefault="009305DB" w:rsidP="00AC1568">
            <w:pPr>
              <w:jc w:val="both"/>
              <w:rPr>
                <w:rFonts w:cs="Arial"/>
                <w:szCs w:val="24"/>
                <w:lang w:val="en-US"/>
              </w:rPr>
            </w:pPr>
            <w:r w:rsidRPr="0052569D">
              <w:rPr>
                <w:rFonts w:cs="Arial"/>
                <w:szCs w:val="24"/>
                <w:lang w:val="en-US"/>
              </w:rPr>
              <w:t>%</w:t>
            </w:r>
          </w:p>
        </w:tc>
      </w:tr>
      <w:tr w:rsidR="009305DB" w:rsidRPr="0052569D" w14:paraId="0318DFBD" w14:textId="15ED66C4" w:rsidTr="009305DB">
        <w:tc>
          <w:tcPr>
            <w:tcW w:w="2548" w:type="dxa"/>
          </w:tcPr>
          <w:p w14:paraId="6F776454" w14:textId="0891EBCB" w:rsidR="009305DB" w:rsidRPr="0052569D" w:rsidRDefault="009305DB" w:rsidP="00AC1568">
            <w:pPr>
              <w:jc w:val="both"/>
              <w:rPr>
                <w:rFonts w:cs="Arial"/>
                <w:szCs w:val="24"/>
                <w:lang w:val="en-US"/>
              </w:rPr>
            </w:pPr>
            <w:r w:rsidRPr="0052569D">
              <w:rPr>
                <w:rFonts w:cs="Arial"/>
                <w:szCs w:val="24"/>
                <w:lang w:val="en-US"/>
              </w:rPr>
              <w:t>1 year</w:t>
            </w:r>
          </w:p>
        </w:tc>
        <w:tc>
          <w:tcPr>
            <w:tcW w:w="2549" w:type="dxa"/>
          </w:tcPr>
          <w:p w14:paraId="5250DC1B" w14:textId="0BCC97EA" w:rsidR="009305DB" w:rsidRPr="0052569D" w:rsidRDefault="009305DB" w:rsidP="00AC1568">
            <w:pPr>
              <w:jc w:val="both"/>
              <w:rPr>
                <w:rFonts w:cs="Arial"/>
                <w:szCs w:val="24"/>
                <w:lang w:val="en-US"/>
              </w:rPr>
            </w:pPr>
            <w:r w:rsidRPr="0052569D">
              <w:rPr>
                <w:rFonts w:cs="Arial"/>
                <w:szCs w:val="24"/>
                <w:lang w:val="en-US"/>
              </w:rPr>
              <w:t>43.025</w:t>
            </w:r>
          </w:p>
        </w:tc>
        <w:tc>
          <w:tcPr>
            <w:tcW w:w="2549" w:type="dxa"/>
          </w:tcPr>
          <w:p w14:paraId="4F8C2506" w14:textId="6E62DC19" w:rsidR="009305DB" w:rsidRPr="0052569D" w:rsidRDefault="009305DB" w:rsidP="00AC1568">
            <w:pPr>
              <w:jc w:val="both"/>
              <w:rPr>
                <w:rFonts w:cs="Arial"/>
                <w:szCs w:val="24"/>
                <w:lang w:val="en-US"/>
              </w:rPr>
            </w:pPr>
            <w:r w:rsidRPr="0052569D">
              <w:rPr>
                <w:rFonts w:cs="Arial"/>
                <w:szCs w:val="24"/>
                <w:lang w:val="en-US"/>
              </w:rPr>
              <w:t>43.3</w:t>
            </w:r>
          </w:p>
        </w:tc>
      </w:tr>
      <w:tr w:rsidR="009305DB" w:rsidRPr="0052569D" w14:paraId="766703EE" w14:textId="02C0A927" w:rsidTr="009305DB">
        <w:tc>
          <w:tcPr>
            <w:tcW w:w="2548" w:type="dxa"/>
          </w:tcPr>
          <w:p w14:paraId="2BD74F7D" w14:textId="2A1DB073" w:rsidR="009305DB" w:rsidRPr="0052569D" w:rsidRDefault="009305DB" w:rsidP="00AC1568">
            <w:pPr>
              <w:jc w:val="both"/>
              <w:rPr>
                <w:rFonts w:cs="Arial"/>
                <w:szCs w:val="24"/>
                <w:lang w:val="en-US"/>
              </w:rPr>
            </w:pPr>
            <w:r w:rsidRPr="0052569D">
              <w:rPr>
                <w:rFonts w:cs="Arial"/>
                <w:szCs w:val="24"/>
                <w:lang w:val="en-US"/>
              </w:rPr>
              <w:t>2-5 years</w:t>
            </w:r>
          </w:p>
        </w:tc>
        <w:tc>
          <w:tcPr>
            <w:tcW w:w="2549" w:type="dxa"/>
          </w:tcPr>
          <w:p w14:paraId="7E113D3B" w14:textId="656013F5" w:rsidR="009305DB" w:rsidRPr="0052569D" w:rsidRDefault="009305DB" w:rsidP="00AC1568">
            <w:pPr>
              <w:jc w:val="both"/>
              <w:rPr>
                <w:rFonts w:cs="Arial"/>
                <w:szCs w:val="24"/>
                <w:lang w:val="en-US"/>
              </w:rPr>
            </w:pPr>
            <w:r w:rsidRPr="0052569D">
              <w:rPr>
                <w:rFonts w:cs="Arial"/>
                <w:szCs w:val="24"/>
                <w:lang w:val="en-US"/>
              </w:rPr>
              <w:t>20.004</w:t>
            </w:r>
          </w:p>
        </w:tc>
        <w:tc>
          <w:tcPr>
            <w:tcW w:w="2549" w:type="dxa"/>
          </w:tcPr>
          <w:p w14:paraId="3425FAC3" w14:textId="09A92A30" w:rsidR="009305DB" w:rsidRPr="0052569D" w:rsidRDefault="009305DB" w:rsidP="00AC1568">
            <w:pPr>
              <w:jc w:val="both"/>
              <w:rPr>
                <w:rFonts w:cs="Arial"/>
                <w:szCs w:val="24"/>
                <w:lang w:val="en-US"/>
              </w:rPr>
            </w:pPr>
            <w:r w:rsidRPr="0052569D">
              <w:rPr>
                <w:rFonts w:cs="Arial"/>
                <w:szCs w:val="24"/>
                <w:lang w:val="en-US"/>
              </w:rPr>
              <w:t>20.1</w:t>
            </w:r>
          </w:p>
        </w:tc>
      </w:tr>
      <w:tr w:rsidR="009305DB" w:rsidRPr="0052569D" w14:paraId="55B761EF" w14:textId="35853DAB" w:rsidTr="009305DB">
        <w:tc>
          <w:tcPr>
            <w:tcW w:w="2548" w:type="dxa"/>
          </w:tcPr>
          <w:p w14:paraId="7E17E36E" w14:textId="540DE80E" w:rsidR="009305DB" w:rsidRPr="0052569D" w:rsidRDefault="009305DB" w:rsidP="00AC1568">
            <w:pPr>
              <w:jc w:val="both"/>
              <w:rPr>
                <w:rFonts w:cs="Arial"/>
                <w:szCs w:val="24"/>
                <w:lang w:val="en-US"/>
              </w:rPr>
            </w:pPr>
            <w:r w:rsidRPr="0052569D">
              <w:rPr>
                <w:rFonts w:cs="Arial"/>
                <w:szCs w:val="24"/>
                <w:lang w:val="en-US"/>
              </w:rPr>
              <w:t>5-10 years</w:t>
            </w:r>
          </w:p>
        </w:tc>
        <w:tc>
          <w:tcPr>
            <w:tcW w:w="2549" w:type="dxa"/>
          </w:tcPr>
          <w:p w14:paraId="757CF45C" w14:textId="65019E50" w:rsidR="009305DB" w:rsidRPr="0052569D" w:rsidRDefault="009305DB" w:rsidP="00AC1568">
            <w:pPr>
              <w:jc w:val="both"/>
              <w:rPr>
                <w:rFonts w:cs="Arial"/>
                <w:szCs w:val="24"/>
                <w:lang w:val="en-US"/>
              </w:rPr>
            </w:pPr>
            <w:r w:rsidRPr="0052569D">
              <w:rPr>
                <w:rFonts w:cs="Arial"/>
                <w:szCs w:val="24"/>
                <w:lang w:val="en-US"/>
              </w:rPr>
              <w:t>11.275</w:t>
            </w:r>
          </w:p>
        </w:tc>
        <w:tc>
          <w:tcPr>
            <w:tcW w:w="2549" w:type="dxa"/>
          </w:tcPr>
          <w:p w14:paraId="539B9A7E" w14:textId="52AA137E" w:rsidR="009305DB" w:rsidRPr="0052569D" w:rsidRDefault="009305DB" w:rsidP="00AC1568">
            <w:pPr>
              <w:jc w:val="both"/>
              <w:rPr>
                <w:rFonts w:cs="Arial"/>
                <w:szCs w:val="24"/>
                <w:lang w:val="en-US"/>
              </w:rPr>
            </w:pPr>
            <w:r w:rsidRPr="0052569D">
              <w:rPr>
                <w:rFonts w:cs="Arial"/>
                <w:szCs w:val="24"/>
                <w:lang w:val="en-US"/>
              </w:rPr>
              <w:t>11.3</w:t>
            </w:r>
          </w:p>
        </w:tc>
      </w:tr>
      <w:tr w:rsidR="009305DB" w:rsidRPr="0052569D" w14:paraId="5152B98D" w14:textId="18CC6061" w:rsidTr="009305DB">
        <w:tc>
          <w:tcPr>
            <w:tcW w:w="2548" w:type="dxa"/>
          </w:tcPr>
          <w:p w14:paraId="73C87EE0" w14:textId="31A4ED44" w:rsidR="009305DB" w:rsidRPr="0052569D" w:rsidRDefault="009305DB" w:rsidP="00AC1568">
            <w:pPr>
              <w:jc w:val="both"/>
              <w:rPr>
                <w:rFonts w:cs="Arial"/>
                <w:szCs w:val="24"/>
                <w:lang w:val="en-US"/>
              </w:rPr>
            </w:pPr>
            <w:r w:rsidRPr="0052569D">
              <w:rPr>
                <w:rFonts w:cs="Arial"/>
                <w:szCs w:val="24"/>
                <w:lang w:val="en-US"/>
              </w:rPr>
              <w:t>Over 10 years</w:t>
            </w:r>
          </w:p>
        </w:tc>
        <w:tc>
          <w:tcPr>
            <w:tcW w:w="2549" w:type="dxa"/>
          </w:tcPr>
          <w:p w14:paraId="6DB84598" w14:textId="64162C80" w:rsidR="009305DB" w:rsidRPr="0052569D" w:rsidRDefault="009305DB" w:rsidP="00AC1568">
            <w:pPr>
              <w:jc w:val="both"/>
              <w:rPr>
                <w:rFonts w:cs="Arial"/>
                <w:szCs w:val="24"/>
                <w:lang w:val="en-US"/>
              </w:rPr>
            </w:pPr>
            <w:r w:rsidRPr="0052569D">
              <w:rPr>
                <w:rFonts w:cs="Arial"/>
                <w:szCs w:val="24"/>
                <w:lang w:val="en-US"/>
              </w:rPr>
              <w:t>25.138</w:t>
            </w:r>
          </w:p>
        </w:tc>
        <w:tc>
          <w:tcPr>
            <w:tcW w:w="2549" w:type="dxa"/>
          </w:tcPr>
          <w:p w14:paraId="739A337D" w14:textId="7F271391" w:rsidR="009305DB" w:rsidRPr="0052569D" w:rsidRDefault="009305DB" w:rsidP="00AC1568">
            <w:pPr>
              <w:jc w:val="both"/>
              <w:rPr>
                <w:rFonts w:cs="Arial"/>
                <w:szCs w:val="24"/>
                <w:lang w:val="en-US"/>
              </w:rPr>
            </w:pPr>
            <w:r w:rsidRPr="0052569D">
              <w:rPr>
                <w:rFonts w:cs="Arial"/>
                <w:szCs w:val="24"/>
                <w:lang w:val="en-US"/>
              </w:rPr>
              <w:t>25.3</w:t>
            </w:r>
          </w:p>
        </w:tc>
      </w:tr>
    </w:tbl>
    <w:p w14:paraId="4D3694F1" w14:textId="3A12945E" w:rsidR="009305DB" w:rsidRPr="0052569D" w:rsidRDefault="009305DB" w:rsidP="00AC1568">
      <w:pPr>
        <w:jc w:val="both"/>
        <w:rPr>
          <w:rFonts w:cs="Arial"/>
          <w:szCs w:val="24"/>
          <w:lang w:val="en-US"/>
        </w:rPr>
      </w:pPr>
    </w:p>
    <w:p w14:paraId="75D2B735" w14:textId="78F924A8" w:rsidR="009305DB" w:rsidRPr="0052569D" w:rsidRDefault="009305DB" w:rsidP="00AC1568">
      <w:pPr>
        <w:jc w:val="both"/>
        <w:rPr>
          <w:rFonts w:cs="Arial"/>
          <w:szCs w:val="24"/>
          <w:lang w:val="en-US"/>
        </w:rPr>
      </w:pPr>
      <w:r w:rsidRPr="0052569D">
        <w:rPr>
          <w:rFonts w:cs="Arial"/>
          <w:szCs w:val="24"/>
          <w:lang w:val="en-US"/>
        </w:rPr>
        <w:t xml:space="preserve">This illustrates that the portfolio does have a reasonable proportion of </w:t>
      </w:r>
      <w:r w:rsidR="00EE76B8" w:rsidRPr="0052569D">
        <w:rPr>
          <w:rFonts w:cs="Arial"/>
          <w:szCs w:val="24"/>
          <w:lang w:val="en-US"/>
        </w:rPr>
        <w:t>long-term</w:t>
      </w:r>
      <w:r w:rsidRPr="0052569D">
        <w:rPr>
          <w:rFonts w:cs="Arial"/>
          <w:szCs w:val="24"/>
          <w:lang w:val="en-US"/>
        </w:rPr>
        <w:t xml:space="preserve"> debt to mitigate refinancing risk </w:t>
      </w:r>
      <w:r w:rsidR="00222B67" w:rsidRPr="0052569D">
        <w:rPr>
          <w:rFonts w:cs="Arial"/>
          <w:szCs w:val="24"/>
          <w:lang w:val="en-US"/>
        </w:rPr>
        <w:t xml:space="preserve">while taking some of the benefits of </w:t>
      </w:r>
      <w:r w:rsidR="00EE76B8" w:rsidRPr="0052569D">
        <w:rPr>
          <w:rFonts w:cs="Arial"/>
          <w:szCs w:val="24"/>
          <w:lang w:val="en-US"/>
        </w:rPr>
        <w:t>short-term</w:t>
      </w:r>
      <w:r w:rsidR="00222B67" w:rsidRPr="0052569D">
        <w:rPr>
          <w:rFonts w:cs="Arial"/>
          <w:szCs w:val="24"/>
          <w:lang w:val="en-US"/>
        </w:rPr>
        <w:t xml:space="preserve"> borrowing</w:t>
      </w:r>
      <w:r w:rsidRPr="0052569D">
        <w:rPr>
          <w:rFonts w:cs="Arial"/>
          <w:szCs w:val="24"/>
          <w:lang w:val="en-US"/>
        </w:rPr>
        <w:t xml:space="preserve">. </w:t>
      </w:r>
    </w:p>
    <w:p w14:paraId="73DB0596" w14:textId="01F2EB5B" w:rsidR="00222B67" w:rsidRPr="0052569D" w:rsidRDefault="00222B67" w:rsidP="00AC1568">
      <w:pPr>
        <w:jc w:val="both"/>
        <w:rPr>
          <w:rFonts w:cs="Arial"/>
          <w:szCs w:val="24"/>
          <w:lang w:val="en-US"/>
        </w:rPr>
      </w:pPr>
    </w:p>
    <w:p w14:paraId="5230FFCF" w14:textId="645B7ABE" w:rsidR="00355C94" w:rsidRPr="00B1172E" w:rsidRDefault="00C406BA" w:rsidP="00AC1568">
      <w:pPr>
        <w:jc w:val="both"/>
        <w:rPr>
          <w:rFonts w:cs="Arial"/>
          <w:szCs w:val="24"/>
          <w:lang w:val="en-US"/>
        </w:rPr>
      </w:pPr>
      <w:r w:rsidRPr="00B1172E">
        <w:rPr>
          <w:rFonts w:cs="Arial"/>
          <w:szCs w:val="24"/>
          <w:lang w:val="en-US"/>
        </w:rPr>
        <w:t>The</w:t>
      </w:r>
      <w:r w:rsidR="007D7A88" w:rsidRPr="00B1172E">
        <w:rPr>
          <w:rFonts w:cs="Arial"/>
          <w:szCs w:val="24"/>
          <w:lang w:val="en-US"/>
        </w:rPr>
        <w:t xml:space="preserve"> interest rates </w:t>
      </w:r>
      <w:r w:rsidR="00222B67" w:rsidRPr="0052569D">
        <w:rPr>
          <w:rFonts w:cs="Arial"/>
          <w:szCs w:val="24"/>
          <w:lang w:val="en-US"/>
        </w:rPr>
        <w:t xml:space="preserve">and Gilt rates, which determine PWLB loan rates, </w:t>
      </w:r>
      <w:r w:rsidRPr="00B1172E">
        <w:rPr>
          <w:rFonts w:cs="Arial"/>
          <w:szCs w:val="24"/>
          <w:lang w:val="en-US"/>
        </w:rPr>
        <w:t xml:space="preserve">forecasts </w:t>
      </w:r>
      <w:r w:rsidR="007D7A88" w:rsidRPr="00B1172E">
        <w:rPr>
          <w:rFonts w:cs="Arial"/>
          <w:szCs w:val="24"/>
          <w:lang w:val="en-US"/>
        </w:rPr>
        <w:t xml:space="preserve">shown earlier in the report </w:t>
      </w:r>
      <w:r w:rsidR="00BC5A4F" w:rsidRPr="00647A83">
        <w:rPr>
          <w:rFonts w:cs="Arial"/>
          <w:szCs w:val="24"/>
          <w:lang w:val="en-US"/>
        </w:rPr>
        <w:t xml:space="preserve">show rates </w:t>
      </w:r>
      <w:r w:rsidRPr="00647A83">
        <w:rPr>
          <w:rFonts w:cs="Arial"/>
          <w:szCs w:val="24"/>
          <w:lang w:val="en-US"/>
        </w:rPr>
        <w:t>are</w:t>
      </w:r>
      <w:r w:rsidR="007D7A88" w:rsidRPr="00826D45">
        <w:rPr>
          <w:rFonts w:cs="Arial"/>
          <w:szCs w:val="24"/>
          <w:lang w:val="en-US"/>
        </w:rPr>
        <w:t xml:space="preserve"> expected to remain at low levels</w:t>
      </w:r>
      <w:r w:rsidR="00222B67" w:rsidRPr="0052569D">
        <w:rPr>
          <w:rFonts w:cs="Arial"/>
          <w:szCs w:val="24"/>
          <w:lang w:val="en-US"/>
        </w:rPr>
        <w:t xml:space="preserve"> albeit rising slowly</w:t>
      </w:r>
      <w:r w:rsidR="007D7A88" w:rsidRPr="00B1172E">
        <w:rPr>
          <w:rFonts w:cs="Arial"/>
          <w:szCs w:val="24"/>
          <w:lang w:val="en-US"/>
        </w:rPr>
        <w:t xml:space="preserve">. If there was an expectation that long term rates were due to increase </w:t>
      </w:r>
      <w:r w:rsidR="00222B67" w:rsidRPr="0052569D">
        <w:rPr>
          <w:rFonts w:cs="Arial"/>
          <w:szCs w:val="24"/>
          <w:lang w:val="en-US"/>
        </w:rPr>
        <w:t xml:space="preserve">sharply </w:t>
      </w:r>
      <w:r w:rsidR="007D7A88" w:rsidRPr="00B1172E">
        <w:rPr>
          <w:rFonts w:cs="Arial"/>
          <w:szCs w:val="24"/>
          <w:lang w:val="en-US"/>
        </w:rPr>
        <w:t>then it is likely that</w:t>
      </w:r>
      <w:r w:rsidRPr="00647A83">
        <w:rPr>
          <w:rFonts w:cs="Arial"/>
          <w:szCs w:val="24"/>
          <w:lang w:val="en-US"/>
        </w:rPr>
        <w:t xml:space="preserve"> more</w:t>
      </w:r>
      <w:r w:rsidR="007D7A88" w:rsidRPr="00647A83">
        <w:rPr>
          <w:rFonts w:cs="Arial"/>
          <w:szCs w:val="24"/>
          <w:lang w:val="en-US"/>
        </w:rPr>
        <w:t xml:space="preserve"> </w:t>
      </w:r>
      <w:r w:rsidR="00EE76B8" w:rsidRPr="00647A83">
        <w:rPr>
          <w:rFonts w:cs="Arial"/>
          <w:szCs w:val="24"/>
          <w:lang w:val="en-US"/>
        </w:rPr>
        <w:t>long-term</w:t>
      </w:r>
      <w:r w:rsidR="007D7A88" w:rsidRPr="00826D45">
        <w:rPr>
          <w:rFonts w:cs="Arial"/>
          <w:szCs w:val="24"/>
          <w:lang w:val="en-US"/>
        </w:rPr>
        <w:t xml:space="preserve"> loans would be taken.  </w:t>
      </w:r>
      <w:r w:rsidR="00222B67" w:rsidRPr="0052569D">
        <w:rPr>
          <w:rFonts w:cs="Arial"/>
          <w:szCs w:val="24"/>
          <w:lang w:val="en-US"/>
        </w:rPr>
        <w:t>The situation will be constantly reviewed by County Councils Treasury Management Team and the Chief Finance Officer.</w:t>
      </w:r>
    </w:p>
    <w:p w14:paraId="3CD284BC" w14:textId="77777777" w:rsidR="00080918" w:rsidRPr="0052569D" w:rsidRDefault="00080918" w:rsidP="005E0478">
      <w:pPr>
        <w:pStyle w:val="BodyTextIndent"/>
        <w:ind w:left="0" w:firstLine="0"/>
        <w:rPr>
          <w:rFonts w:ascii="Arial" w:hAnsi="Arial" w:cs="Arial"/>
          <w:b/>
          <w:szCs w:val="24"/>
          <w:highlight w:val="yellow"/>
        </w:rPr>
      </w:pPr>
    </w:p>
    <w:p w14:paraId="4BA78666" w14:textId="77777777" w:rsidR="009351B7" w:rsidRPr="00222B67" w:rsidRDefault="00DD6FF1" w:rsidP="009351B7">
      <w:pPr>
        <w:pStyle w:val="ListParagraph"/>
        <w:ind w:left="0"/>
        <w:contextualSpacing w:val="0"/>
        <w:jc w:val="both"/>
        <w:rPr>
          <w:rFonts w:cs="Arial"/>
        </w:rPr>
      </w:pPr>
      <w:r w:rsidRPr="00222B67">
        <w:rPr>
          <w:rFonts w:cs="Arial"/>
        </w:rPr>
        <w:t>In undertaking borrowing the</w:t>
      </w:r>
      <w:r w:rsidR="009351B7" w:rsidRPr="00222B67">
        <w:rPr>
          <w:rFonts w:cs="Arial"/>
        </w:rPr>
        <w:t xml:space="preserve"> approved sources of long-term and short-term borrowing </w:t>
      </w:r>
      <w:r w:rsidR="007F1DEF" w:rsidRPr="00222B67">
        <w:rPr>
          <w:rFonts w:cs="Arial"/>
        </w:rPr>
        <w:t>currently are</w:t>
      </w:r>
      <w:r w:rsidR="009351B7" w:rsidRPr="00222B67">
        <w:rPr>
          <w:rFonts w:cs="Arial"/>
        </w:rPr>
        <w:t>:</w:t>
      </w:r>
    </w:p>
    <w:p w14:paraId="74DBDC81" w14:textId="77777777" w:rsidR="009351B7" w:rsidRPr="00222B67" w:rsidRDefault="009351B7" w:rsidP="009351B7">
      <w:pPr>
        <w:pStyle w:val="ListParagraph"/>
        <w:ind w:left="0"/>
        <w:contextualSpacing w:val="0"/>
        <w:jc w:val="both"/>
        <w:rPr>
          <w:rFonts w:cs="Arial"/>
        </w:rPr>
      </w:pPr>
    </w:p>
    <w:p w14:paraId="31A73ED2" w14:textId="77777777" w:rsidR="009351B7" w:rsidRPr="00222B67" w:rsidRDefault="009351B7" w:rsidP="009351B7">
      <w:pPr>
        <w:pStyle w:val="ListParagraph"/>
        <w:numPr>
          <w:ilvl w:val="0"/>
          <w:numId w:val="30"/>
        </w:numPr>
        <w:spacing w:line="276" w:lineRule="auto"/>
        <w:contextualSpacing w:val="0"/>
        <w:jc w:val="both"/>
        <w:rPr>
          <w:rFonts w:cs="Arial"/>
        </w:rPr>
      </w:pPr>
      <w:r w:rsidRPr="00222B67">
        <w:rPr>
          <w:rFonts w:cs="Arial"/>
        </w:rPr>
        <w:t>Public Works Loan Board</w:t>
      </w:r>
    </w:p>
    <w:p w14:paraId="7821BECD" w14:textId="77777777" w:rsidR="009351B7" w:rsidRPr="00222B67" w:rsidRDefault="009351B7" w:rsidP="009351B7">
      <w:pPr>
        <w:pStyle w:val="ListParagraph"/>
        <w:numPr>
          <w:ilvl w:val="0"/>
          <w:numId w:val="30"/>
        </w:numPr>
        <w:spacing w:line="276" w:lineRule="auto"/>
        <w:contextualSpacing w:val="0"/>
        <w:jc w:val="both"/>
        <w:rPr>
          <w:rFonts w:cs="Arial"/>
        </w:rPr>
      </w:pPr>
      <w:r w:rsidRPr="00222B67">
        <w:rPr>
          <w:rFonts w:cs="Arial"/>
        </w:rPr>
        <w:t>UK local authorities</w:t>
      </w:r>
    </w:p>
    <w:p w14:paraId="41A1A75F" w14:textId="77777777" w:rsidR="009351B7" w:rsidRPr="00222B67" w:rsidRDefault="009351B7" w:rsidP="009351B7">
      <w:pPr>
        <w:pStyle w:val="ListParagraph"/>
        <w:numPr>
          <w:ilvl w:val="0"/>
          <w:numId w:val="30"/>
        </w:numPr>
        <w:spacing w:line="276" w:lineRule="auto"/>
        <w:contextualSpacing w:val="0"/>
        <w:jc w:val="both"/>
        <w:rPr>
          <w:rFonts w:cs="Arial"/>
        </w:rPr>
      </w:pPr>
      <w:r w:rsidRPr="00222B67">
        <w:rPr>
          <w:rFonts w:cs="Arial"/>
        </w:rPr>
        <w:t xml:space="preserve">any institution approved for investments </w:t>
      </w:r>
    </w:p>
    <w:p w14:paraId="719ECCBD" w14:textId="77777777" w:rsidR="009351B7" w:rsidRPr="00222B67" w:rsidRDefault="009351B7" w:rsidP="009351B7">
      <w:pPr>
        <w:pStyle w:val="ListParagraph"/>
        <w:numPr>
          <w:ilvl w:val="0"/>
          <w:numId w:val="30"/>
        </w:numPr>
        <w:spacing w:line="276" w:lineRule="auto"/>
        <w:contextualSpacing w:val="0"/>
        <w:jc w:val="both"/>
        <w:rPr>
          <w:rFonts w:cs="Arial"/>
        </w:rPr>
      </w:pPr>
      <w:r w:rsidRPr="00222B67">
        <w:rPr>
          <w:rFonts w:cs="Arial"/>
        </w:rPr>
        <w:t>any other bank or building society authorised by the Prudential Regulation Authority to operate in the UK</w:t>
      </w:r>
    </w:p>
    <w:p w14:paraId="742157B5" w14:textId="2866B90E" w:rsidR="009351B7" w:rsidRPr="00222B67" w:rsidRDefault="009351B7" w:rsidP="009351B7">
      <w:pPr>
        <w:pStyle w:val="ListParagraph"/>
        <w:numPr>
          <w:ilvl w:val="0"/>
          <w:numId w:val="30"/>
        </w:numPr>
        <w:spacing w:line="276" w:lineRule="auto"/>
        <w:contextualSpacing w:val="0"/>
        <w:jc w:val="both"/>
        <w:rPr>
          <w:rFonts w:cs="Arial"/>
        </w:rPr>
      </w:pPr>
      <w:r w:rsidRPr="00222B67">
        <w:rPr>
          <w:rFonts w:cs="Arial"/>
        </w:rPr>
        <w:t xml:space="preserve">UK public and private sector pension funds </w:t>
      </w:r>
    </w:p>
    <w:p w14:paraId="07D616FF" w14:textId="77777777" w:rsidR="00BF4886" w:rsidRPr="00222B67" w:rsidRDefault="00BF4886" w:rsidP="00BF4886">
      <w:pPr>
        <w:spacing w:line="276" w:lineRule="auto"/>
        <w:ind w:left="360"/>
        <w:jc w:val="both"/>
        <w:rPr>
          <w:rFonts w:cs="Arial"/>
        </w:rPr>
      </w:pPr>
    </w:p>
    <w:p w14:paraId="3E2EAE12" w14:textId="77777777" w:rsidR="00DD6FF1" w:rsidRPr="00222B67" w:rsidRDefault="00DD6FF1" w:rsidP="00196349">
      <w:pPr>
        <w:spacing w:line="276" w:lineRule="auto"/>
        <w:jc w:val="both"/>
        <w:rPr>
          <w:rFonts w:cs="Arial"/>
        </w:rPr>
      </w:pPr>
      <w:r w:rsidRPr="00222B67">
        <w:rPr>
          <w:rFonts w:cs="Arial"/>
        </w:rPr>
        <w:t>It is proposed that this will continue.</w:t>
      </w:r>
    </w:p>
    <w:p w14:paraId="1FD8B0FF" w14:textId="77777777" w:rsidR="009351B7" w:rsidRPr="0052569D" w:rsidRDefault="009351B7" w:rsidP="009351B7">
      <w:pPr>
        <w:pStyle w:val="ListParagraph"/>
        <w:spacing w:line="276" w:lineRule="auto"/>
        <w:ind w:left="1080"/>
        <w:contextualSpacing w:val="0"/>
        <w:jc w:val="both"/>
        <w:rPr>
          <w:rFonts w:cs="Arial"/>
          <w:highlight w:val="yellow"/>
        </w:rPr>
      </w:pPr>
    </w:p>
    <w:p w14:paraId="570AF2EA" w14:textId="077CE909" w:rsidR="009351B7" w:rsidRPr="0052569D" w:rsidRDefault="009351B7" w:rsidP="009351B7">
      <w:pPr>
        <w:pStyle w:val="ListParagraph"/>
        <w:spacing w:line="276" w:lineRule="auto"/>
        <w:ind w:left="0"/>
        <w:contextualSpacing w:val="0"/>
        <w:jc w:val="both"/>
        <w:rPr>
          <w:rFonts w:cs="Arial"/>
          <w:highlight w:val="yellow"/>
        </w:rPr>
      </w:pPr>
      <w:r w:rsidRPr="00222B67">
        <w:rPr>
          <w:rFonts w:cs="Arial"/>
        </w:rPr>
        <w:t xml:space="preserve">In the past the </w:t>
      </w:r>
      <w:r w:rsidR="00792EE9" w:rsidRPr="00222B67">
        <w:rPr>
          <w:rFonts w:cs="Arial"/>
        </w:rPr>
        <w:t>Commissioner</w:t>
      </w:r>
      <w:r w:rsidRPr="00222B67">
        <w:rPr>
          <w:rFonts w:cs="Arial"/>
        </w:rPr>
        <w:t xml:space="preserve"> has raised all long-term borrowing from the Public Works Loan Board, but it continues to investigate other sources of finance, such as local authority loans and bank loans, that may be available at more favourable rates</w:t>
      </w:r>
      <w:r w:rsidR="00BC5A4F" w:rsidRPr="00222B67">
        <w:rPr>
          <w:rFonts w:cs="Arial"/>
        </w:rPr>
        <w:t>.</w:t>
      </w:r>
    </w:p>
    <w:p w14:paraId="5A15D166" w14:textId="77777777" w:rsidR="007F1DEF" w:rsidRPr="0052569D" w:rsidRDefault="007F1DEF" w:rsidP="005657CF">
      <w:pPr>
        <w:widowControl w:val="0"/>
        <w:jc w:val="both"/>
        <w:rPr>
          <w:rFonts w:cs="Arial"/>
          <w:szCs w:val="24"/>
          <w:highlight w:val="yellow"/>
        </w:rPr>
      </w:pPr>
    </w:p>
    <w:p w14:paraId="695CD948" w14:textId="77777777" w:rsidR="007F1DEF" w:rsidRPr="0052569D" w:rsidRDefault="007F1DEF" w:rsidP="009351B7">
      <w:pPr>
        <w:pStyle w:val="BodyText"/>
        <w:jc w:val="both"/>
        <w:rPr>
          <w:rFonts w:cs="Arial"/>
          <w:szCs w:val="24"/>
          <w:highlight w:val="yellow"/>
        </w:rPr>
      </w:pPr>
    </w:p>
    <w:p w14:paraId="2A088283" w14:textId="77777777" w:rsidR="009351B7" w:rsidRPr="00222B67" w:rsidRDefault="007F1DEF" w:rsidP="009351B7">
      <w:pPr>
        <w:pStyle w:val="BodyText"/>
        <w:jc w:val="both"/>
        <w:rPr>
          <w:rFonts w:cs="Arial"/>
          <w:szCs w:val="24"/>
        </w:rPr>
      </w:pPr>
      <w:r w:rsidRPr="00222B67">
        <w:rPr>
          <w:rFonts w:cs="Arial"/>
          <w:szCs w:val="24"/>
        </w:rPr>
        <w:t>Debt Restructuring</w:t>
      </w:r>
    </w:p>
    <w:p w14:paraId="2383AFE3" w14:textId="77777777" w:rsidR="007F1DEF" w:rsidRPr="00222B67" w:rsidRDefault="007F1DEF" w:rsidP="009351B7">
      <w:pPr>
        <w:pStyle w:val="BodyText"/>
        <w:jc w:val="both"/>
        <w:rPr>
          <w:rFonts w:cs="Arial"/>
          <w:szCs w:val="24"/>
        </w:rPr>
      </w:pPr>
    </w:p>
    <w:p w14:paraId="0DFF5835" w14:textId="77777777" w:rsidR="009351B7" w:rsidRPr="00222B67" w:rsidRDefault="009351B7" w:rsidP="009351B7">
      <w:pPr>
        <w:pStyle w:val="BodyText"/>
        <w:jc w:val="both"/>
        <w:rPr>
          <w:rFonts w:cs="Arial"/>
          <w:szCs w:val="24"/>
        </w:rPr>
      </w:pPr>
      <w:r w:rsidRPr="00222B67">
        <w:rPr>
          <w:rFonts w:cs="Arial"/>
          <w:szCs w:val="24"/>
        </w:rPr>
        <w:t xml:space="preserve">The </w:t>
      </w:r>
      <w:r w:rsidR="009E17BF" w:rsidRPr="00222B67">
        <w:rPr>
          <w:rFonts w:cs="Arial"/>
          <w:szCs w:val="24"/>
        </w:rPr>
        <w:t>Chief Finance Officer</w:t>
      </w:r>
      <w:r w:rsidRPr="00222B67">
        <w:rPr>
          <w:rFonts w:cs="Arial"/>
          <w:szCs w:val="24"/>
        </w:rPr>
        <w:t xml:space="preserve">, </w:t>
      </w:r>
      <w:r w:rsidR="00A60D41" w:rsidRPr="00222B67">
        <w:rPr>
          <w:rFonts w:cs="Arial"/>
          <w:szCs w:val="24"/>
        </w:rPr>
        <w:t>together</w:t>
      </w:r>
      <w:r w:rsidRPr="00222B67">
        <w:rPr>
          <w:rFonts w:cs="Arial"/>
          <w:szCs w:val="24"/>
        </w:rPr>
        <w:t xml:space="preserve"> with the County Council's treasury management team reviews options for debt restructuring on a regular basis. A recent review found that given the relatively favourable interest rates at which these have been taken out (below 5%) and the penalties </w:t>
      </w:r>
      <w:r w:rsidRPr="00222B67">
        <w:rPr>
          <w:rFonts w:cs="Arial"/>
          <w:szCs w:val="24"/>
        </w:rPr>
        <w:lastRenderedPageBreak/>
        <w:t>associated with any early repayment, restructure is not considered financially viable at the present time. A better option for the immediate future is to</w:t>
      </w:r>
      <w:r w:rsidR="009C4AA9" w:rsidRPr="00222B67">
        <w:rPr>
          <w:rFonts w:cs="Arial"/>
          <w:szCs w:val="24"/>
        </w:rPr>
        <w:t xml:space="preserve"> continue to</w:t>
      </w:r>
      <w:r w:rsidRPr="00222B67">
        <w:rPr>
          <w:rFonts w:cs="Arial"/>
          <w:szCs w:val="24"/>
        </w:rPr>
        <w:t xml:space="preserve"> utilise reserves to </w:t>
      </w:r>
      <w:r w:rsidR="00FF2997" w:rsidRPr="00222B67">
        <w:rPr>
          <w:rFonts w:cs="Arial"/>
          <w:szCs w:val="24"/>
        </w:rPr>
        <w:t xml:space="preserve">minimise </w:t>
      </w:r>
      <w:r w:rsidRPr="00222B67">
        <w:rPr>
          <w:rFonts w:cs="Arial"/>
          <w:szCs w:val="24"/>
        </w:rPr>
        <w:t xml:space="preserve">the future borrowing requirement rather than repay debt. </w:t>
      </w:r>
    </w:p>
    <w:p w14:paraId="17E79A56" w14:textId="77777777" w:rsidR="009351B7" w:rsidRPr="00222B67" w:rsidRDefault="009351B7" w:rsidP="009351B7">
      <w:pPr>
        <w:pStyle w:val="BodyText"/>
        <w:jc w:val="both"/>
        <w:rPr>
          <w:rFonts w:cs="Arial"/>
          <w:szCs w:val="24"/>
        </w:rPr>
      </w:pPr>
    </w:p>
    <w:p w14:paraId="2B1887BF" w14:textId="77777777" w:rsidR="009351B7" w:rsidRPr="00222B67" w:rsidRDefault="009351B7" w:rsidP="009351B7">
      <w:pPr>
        <w:pStyle w:val="BodyText"/>
        <w:jc w:val="both"/>
        <w:rPr>
          <w:szCs w:val="24"/>
        </w:rPr>
      </w:pPr>
      <w:r w:rsidRPr="00222B67">
        <w:t xml:space="preserve">Frequent discussions will continue to take place between the </w:t>
      </w:r>
      <w:r w:rsidR="009E17BF" w:rsidRPr="00222B67">
        <w:t>Chief Finance Officer</w:t>
      </w:r>
      <w:r w:rsidRPr="00222B67">
        <w:t xml:space="preserve"> and the Treasury Management Team to monitor this situation and any future decisions on debt financing will be put through the same rigorous cost and prudence analysis that external borrowing has traditionally gone through and </w:t>
      </w:r>
      <w:r w:rsidRPr="00222B67">
        <w:rPr>
          <w:rFonts w:cs="Arial"/>
          <w:szCs w:val="24"/>
        </w:rPr>
        <w:t>will be reported to the Commissioner in due course.</w:t>
      </w:r>
    </w:p>
    <w:p w14:paraId="671C6E32" w14:textId="77777777" w:rsidR="009351B7" w:rsidRPr="0052569D" w:rsidRDefault="009351B7" w:rsidP="009351B7">
      <w:pPr>
        <w:pStyle w:val="BodyText"/>
        <w:jc w:val="both"/>
        <w:rPr>
          <w:rFonts w:cs="Arial"/>
          <w:highlight w:val="yellow"/>
        </w:rPr>
      </w:pPr>
    </w:p>
    <w:p w14:paraId="48BC5CC4" w14:textId="77777777" w:rsidR="009351B7" w:rsidRPr="00230E2D" w:rsidRDefault="009351B7" w:rsidP="009351B7">
      <w:pPr>
        <w:pStyle w:val="BodyText"/>
        <w:jc w:val="both"/>
        <w:rPr>
          <w:rFonts w:cs="Arial"/>
          <w:b/>
          <w:szCs w:val="24"/>
        </w:rPr>
      </w:pPr>
      <w:r w:rsidRPr="00230E2D">
        <w:rPr>
          <w:rFonts w:cs="Arial"/>
          <w:b/>
          <w:szCs w:val="24"/>
        </w:rPr>
        <w:t>Policy on Borrowing in Advance of Need</w:t>
      </w:r>
    </w:p>
    <w:p w14:paraId="7D3F948E" w14:textId="77777777" w:rsidR="009351B7" w:rsidRPr="00230E2D" w:rsidRDefault="009351B7" w:rsidP="009351B7">
      <w:pPr>
        <w:pStyle w:val="BodyText"/>
        <w:jc w:val="both"/>
        <w:rPr>
          <w:rFonts w:cs="Arial"/>
          <w:b/>
          <w:szCs w:val="24"/>
        </w:rPr>
      </w:pPr>
    </w:p>
    <w:p w14:paraId="0B330520" w14:textId="77777777" w:rsidR="009351B7" w:rsidRPr="00230E2D" w:rsidRDefault="009351B7" w:rsidP="009351B7">
      <w:pPr>
        <w:pStyle w:val="BodyText"/>
        <w:jc w:val="both"/>
        <w:rPr>
          <w:rFonts w:cs="Arial"/>
          <w:szCs w:val="24"/>
        </w:rPr>
      </w:pPr>
      <w:r w:rsidRPr="00230E2D">
        <w:rPr>
          <w:rFonts w:cs="Arial"/>
          <w:szCs w:val="24"/>
        </w:rPr>
        <w:t xml:space="preserve">The </w:t>
      </w:r>
      <w:r w:rsidR="00935D00" w:rsidRPr="00230E2D">
        <w:rPr>
          <w:rFonts w:cs="Arial"/>
          <w:szCs w:val="24"/>
        </w:rPr>
        <w:t>Commissioner</w:t>
      </w:r>
      <w:r w:rsidRPr="00230E2D">
        <w:rPr>
          <w:rFonts w:cs="Arial"/>
          <w:szCs w:val="24"/>
        </w:rPr>
        <w:t xml:space="preserve"> will not borrow more than or in advance of need purely </w:t>
      </w:r>
      <w:proofErr w:type="gramStart"/>
      <w:r w:rsidRPr="00230E2D">
        <w:rPr>
          <w:rFonts w:cs="Arial"/>
          <w:szCs w:val="24"/>
        </w:rPr>
        <w:t>in order to</w:t>
      </w:r>
      <w:proofErr w:type="gramEnd"/>
      <w:r w:rsidRPr="00230E2D">
        <w:rPr>
          <w:rFonts w:cs="Arial"/>
          <w:szCs w:val="24"/>
        </w:rPr>
        <w:t xml:space="preserve"> profit from the investment of the extra sums borrowed. However advance borrowing may be taken if it is considered that current rates are more favourable than future rates and that this advantage outweighs the cost of carrying advance borrowing. Any decision to borrow in advance will be considered carefully to ensure value for money can be demonstrated and that the </w:t>
      </w:r>
      <w:r w:rsidR="00935D00" w:rsidRPr="00230E2D">
        <w:rPr>
          <w:rFonts w:cs="Arial"/>
          <w:szCs w:val="24"/>
        </w:rPr>
        <w:t>Commissioner</w:t>
      </w:r>
      <w:r w:rsidRPr="00230E2D">
        <w:rPr>
          <w:rFonts w:cs="Arial"/>
          <w:szCs w:val="24"/>
        </w:rPr>
        <w:t xml:space="preserve"> can ensure the security of such funds and relationships.</w:t>
      </w:r>
    </w:p>
    <w:p w14:paraId="3F5841B7" w14:textId="77777777" w:rsidR="009351B7" w:rsidRPr="00230E2D" w:rsidRDefault="009351B7" w:rsidP="009351B7">
      <w:pPr>
        <w:pStyle w:val="BodyText"/>
        <w:jc w:val="both"/>
        <w:rPr>
          <w:rFonts w:cs="Arial"/>
          <w:szCs w:val="24"/>
        </w:rPr>
      </w:pPr>
    </w:p>
    <w:p w14:paraId="37DDDFF3" w14:textId="090040F0" w:rsidR="009351B7" w:rsidRPr="00230E2D" w:rsidRDefault="009351B7" w:rsidP="009351B7">
      <w:pPr>
        <w:pStyle w:val="BodyText"/>
        <w:jc w:val="both"/>
        <w:rPr>
          <w:rFonts w:cs="Arial"/>
          <w:szCs w:val="24"/>
        </w:rPr>
      </w:pPr>
      <w:r w:rsidRPr="00230E2D">
        <w:rPr>
          <w:rFonts w:cs="Arial"/>
          <w:szCs w:val="24"/>
        </w:rPr>
        <w:t xml:space="preserve">In determining whether borrowing will be undertaken in advance of need the </w:t>
      </w:r>
      <w:r w:rsidR="00935D00" w:rsidRPr="00230E2D">
        <w:rPr>
          <w:rFonts w:cs="Arial"/>
          <w:szCs w:val="24"/>
        </w:rPr>
        <w:t>Commissioner</w:t>
      </w:r>
      <w:r w:rsidRPr="00230E2D">
        <w:rPr>
          <w:rFonts w:cs="Arial"/>
          <w:szCs w:val="24"/>
        </w:rPr>
        <w:t xml:space="preserve"> will:</w:t>
      </w:r>
    </w:p>
    <w:p w14:paraId="55E53848" w14:textId="77777777" w:rsidR="009351B7" w:rsidRPr="00230E2D" w:rsidRDefault="009351B7" w:rsidP="009351B7">
      <w:pPr>
        <w:pStyle w:val="BodyText"/>
        <w:jc w:val="both"/>
        <w:rPr>
          <w:rFonts w:cs="Arial"/>
          <w:szCs w:val="24"/>
        </w:rPr>
      </w:pPr>
    </w:p>
    <w:p w14:paraId="55ACF52D" w14:textId="77777777" w:rsidR="009351B7" w:rsidRPr="00230E2D" w:rsidRDefault="009351B7" w:rsidP="009351B7">
      <w:pPr>
        <w:pStyle w:val="BodyText"/>
        <w:numPr>
          <w:ilvl w:val="0"/>
          <w:numId w:val="24"/>
        </w:numPr>
        <w:jc w:val="both"/>
        <w:rPr>
          <w:rFonts w:cs="Arial"/>
          <w:szCs w:val="24"/>
        </w:rPr>
      </w:pPr>
      <w:r w:rsidRPr="00230E2D">
        <w:rPr>
          <w:rFonts w:cs="Arial"/>
          <w:szCs w:val="24"/>
        </w:rPr>
        <w:t>Ensure that there is a clear link between the capital programme and the maturity profile of the existing debt portfolio which supports the need to take funding in advance of need.</w:t>
      </w:r>
    </w:p>
    <w:p w14:paraId="6746A313" w14:textId="77777777" w:rsidR="009351B7" w:rsidRPr="00230E2D" w:rsidRDefault="009351B7" w:rsidP="009351B7">
      <w:pPr>
        <w:pStyle w:val="BodyText"/>
        <w:numPr>
          <w:ilvl w:val="0"/>
          <w:numId w:val="24"/>
        </w:numPr>
        <w:jc w:val="both"/>
        <w:rPr>
          <w:rFonts w:cs="Arial"/>
          <w:szCs w:val="24"/>
        </w:rPr>
      </w:pPr>
      <w:r w:rsidRPr="00230E2D">
        <w:rPr>
          <w:rFonts w:cs="Arial"/>
          <w:szCs w:val="24"/>
        </w:rPr>
        <w:t xml:space="preserve">Ensure the ongoing revenue liabilities created, and the implications for the </w:t>
      </w:r>
      <w:proofErr w:type="gramStart"/>
      <w:r w:rsidRPr="00230E2D">
        <w:rPr>
          <w:rFonts w:cs="Arial"/>
          <w:szCs w:val="24"/>
        </w:rPr>
        <w:t>future plans</w:t>
      </w:r>
      <w:proofErr w:type="gramEnd"/>
      <w:r w:rsidRPr="00230E2D">
        <w:rPr>
          <w:rFonts w:cs="Arial"/>
          <w:szCs w:val="24"/>
        </w:rPr>
        <w:t xml:space="preserve"> and budgets have been considered.</w:t>
      </w:r>
    </w:p>
    <w:p w14:paraId="1BEB070A" w14:textId="77777777" w:rsidR="009351B7" w:rsidRPr="00230E2D" w:rsidRDefault="009351B7" w:rsidP="009351B7">
      <w:pPr>
        <w:pStyle w:val="BodyText"/>
        <w:numPr>
          <w:ilvl w:val="0"/>
          <w:numId w:val="24"/>
        </w:numPr>
        <w:jc w:val="both"/>
        <w:rPr>
          <w:rFonts w:cs="Arial"/>
          <w:szCs w:val="24"/>
        </w:rPr>
      </w:pPr>
      <w:r w:rsidRPr="00230E2D">
        <w:rPr>
          <w:rFonts w:cs="Arial"/>
          <w:szCs w:val="24"/>
        </w:rPr>
        <w:t>Evaluate the economic and market factors that might influence the manner and timing of any decision to borrow.</w:t>
      </w:r>
    </w:p>
    <w:p w14:paraId="2279DD22" w14:textId="77777777" w:rsidR="009351B7" w:rsidRPr="00230E2D" w:rsidRDefault="009351B7" w:rsidP="009351B7">
      <w:pPr>
        <w:pStyle w:val="BodyText"/>
        <w:numPr>
          <w:ilvl w:val="0"/>
          <w:numId w:val="24"/>
        </w:numPr>
        <w:jc w:val="both"/>
        <w:rPr>
          <w:rFonts w:cs="Arial"/>
          <w:szCs w:val="24"/>
        </w:rPr>
      </w:pPr>
      <w:r w:rsidRPr="00230E2D">
        <w:rPr>
          <w:rFonts w:cs="Arial"/>
          <w:szCs w:val="24"/>
        </w:rPr>
        <w:t>Consider the merits and demerits of alternative forms of funding.</w:t>
      </w:r>
    </w:p>
    <w:p w14:paraId="3825144E" w14:textId="77777777" w:rsidR="009351B7" w:rsidRPr="00230E2D" w:rsidRDefault="009351B7" w:rsidP="009351B7">
      <w:pPr>
        <w:pStyle w:val="BodyText"/>
        <w:numPr>
          <w:ilvl w:val="0"/>
          <w:numId w:val="24"/>
        </w:numPr>
        <w:jc w:val="both"/>
        <w:rPr>
          <w:rFonts w:cs="Arial"/>
          <w:szCs w:val="24"/>
        </w:rPr>
      </w:pPr>
      <w:r w:rsidRPr="00230E2D">
        <w:rPr>
          <w:rFonts w:cs="Arial"/>
          <w:szCs w:val="24"/>
        </w:rPr>
        <w:t>Consider the alternative interest rate bases available, the most appropriate periods to fund and repayment profiles to use.</w:t>
      </w:r>
    </w:p>
    <w:p w14:paraId="0188BB99" w14:textId="77777777" w:rsidR="00080918" w:rsidRPr="0052569D" w:rsidRDefault="00080918" w:rsidP="00080918">
      <w:pPr>
        <w:pStyle w:val="BodyText"/>
        <w:jc w:val="both"/>
        <w:rPr>
          <w:rFonts w:cs="Arial"/>
          <w:szCs w:val="24"/>
          <w:highlight w:val="yellow"/>
        </w:rPr>
      </w:pPr>
    </w:p>
    <w:p w14:paraId="75918617" w14:textId="77777777" w:rsidR="00080918" w:rsidRPr="00230E2D" w:rsidRDefault="00FF2997" w:rsidP="00080918">
      <w:pPr>
        <w:pStyle w:val="BodyText"/>
        <w:jc w:val="both"/>
        <w:rPr>
          <w:rFonts w:cs="Arial"/>
          <w:b/>
          <w:szCs w:val="24"/>
        </w:rPr>
      </w:pPr>
      <w:r w:rsidRPr="00230E2D">
        <w:rPr>
          <w:rFonts w:cs="Arial"/>
          <w:b/>
          <w:szCs w:val="24"/>
        </w:rPr>
        <w:t xml:space="preserve">Treasury Management </w:t>
      </w:r>
      <w:r w:rsidR="00080918" w:rsidRPr="00230E2D">
        <w:rPr>
          <w:rFonts w:cs="Arial"/>
          <w:b/>
          <w:szCs w:val="24"/>
        </w:rPr>
        <w:t>Investment Strategy</w:t>
      </w:r>
    </w:p>
    <w:p w14:paraId="6AD21252" w14:textId="77777777" w:rsidR="00A90D6C" w:rsidRPr="00230E2D" w:rsidRDefault="00A90D6C" w:rsidP="00080918">
      <w:pPr>
        <w:pStyle w:val="BodyText"/>
        <w:jc w:val="both"/>
        <w:rPr>
          <w:rFonts w:cs="Arial"/>
          <w:b/>
          <w:szCs w:val="24"/>
        </w:rPr>
      </w:pPr>
    </w:p>
    <w:p w14:paraId="1815C3CF" w14:textId="77777777" w:rsidR="00A90D6C" w:rsidRPr="00230E2D" w:rsidRDefault="00A90D6C" w:rsidP="00A90D6C">
      <w:pPr>
        <w:jc w:val="both"/>
        <w:rPr>
          <w:rFonts w:cs="Arial"/>
          <w:szCs w:val="24"/>
        </w:rPr>
      </w:pPr>
      <w:r w:rsidRPr="00230E2D">
        <w:rPr>
          <w:rFonts w:cs="Arial"/>
          <w:szCs w:val="24"/>
        </w:rPr>
        <w:t xml:space="preserve">The Commissioner will have regard to the </w:t>
      </w:r>
      <w:r w:rsidR="000E6114" w:rsidRPr="00230E2D">
        <w:rPr>
          <w:rFonts w:cs="Arial"/>
          <w:szCs w:val="24"/>
        </w:rPr>
        <w:t>MH</w:t>
      </w:r>
      <w:r w:rsidRPr="00230E2D">
        <w:rPr>
          <w:rFonts w:cs="Arial"/>
          <w:szCs w:val="24"/>
        </w:rPr>
        <w:t xml:space="preserve">CLG’s Guidance on Local Government Investments </w:t>
      </w:r>
      <w:r w:rsidR="000E6114" w:rsidRPr="00230E2D">
        <w:rPr>
          <w:rFonts w:cs="Arial"/>
          <w:szCs w:val="24"/>
        </w:rPr>
        <w:t xml:space="preserve">and the </w:t>
      </w:r>
      <w:r w:rsidRPr="00230E2D">
        <w:rPr>
          <w:rFonts w:cs="Arial"/>
          <w:szCs w:val="24"/>
        </w:rPr>
        <w:t xml:space="preserve">revised CIPFA Treasury Management in Public Services Code of Practice and Guidance Notes (“the CIPFA TM Code”).  The Commissioner’s investment priorities are: - </w:t>
      </w:r>
    </w:p>
    <w:p w14:paraId="1605A4F5" w14:textId="77777777" w:rsidR="00A90D6C" w:rsidRPr="00230E2D" w:rsidRDefault="00A90D6C" w:rsidP="00A90D6C">
      <w:pPr>
        <w:jc w:val="both"/>
        <w:rPr>
          <w:rFonts w:cs="Arial"/>
          <w:szCs w:val="24"/>
        </w:rPr>
      </w:pPr>
    </w:p>
    <w:p w14:paraId="71960CCA" w14:textId="77777777" w:rsidR="00A90D6C" w:rsidRPr="00230E2D" w:rsidRDefault="00A90D6C" w:rsidP="00A90D6C">
      <w:pPr>
        <w:spacing w:before="45" w:after="45"/>
        <w:jc w:val="both"/>
        <w:rPr>
          <w:rFonts w:cs="Arial"/>
          <w:szCs w:val="24"/>
        </w:rPr>
      </w:pPr>
      <w:r w:rsidRPr="00230E2D">
        <w:rPr>
          <w:rFonts w:cs="Arial"/>
          <w:szCs w:val="24"/>
        </w:rPr>
        <w:t xml:space="preserve">(a)   The security of capital and </w:t>
      </w:r>
    </w:p>
    <w:p w14:paraId="24758DA8" w14:textId="77777777" w:rsidR="00A90D6C" w:rsidRPr="00230E2D" w:rsidRDefault="00A90D6C" w:rsidP="00A90D6C">
      <w:pPr>
        <w:spacing w:before="45" w:after="45"/>
        <w:jc w:val="both"/>
        <w:rPr>
          <w:rFonts w:cs="Arial"/>
          <w:szCs w:val="24"/>
        </w:rPr>
      </w:pPr>
      <w:r w:rsidRPr="00230E2D">
        <w:rPr>
          <w:rFonts w:cs="Arial"/>
          <w:szCs w:val="24"/>
        </w:rPr>
        <w:t xml:space="preserve">(b)   The liquidity of its investments. </w:t>
      </w:r>
    </w:p>
    <w:p w14:paraId="4CC82BA4" w14:textId="77777777" w:rsidR="00A90D6C" w:rsidRPr="00230E2D" w:rsidRDefault="00A90D6C" w:rsidP="00A90D6C">
      <w:pPr>
        <w:jc w:val="both"/>
        <w:rPr>
          <w:rFonts w:cs="Arial"/>
          <w:szCs w:val="24"/>
        </w:rPr>
      </w:pPr>
    </w:p>
    <w:p w14:paraId="363F029A" w14:textId="77777777" w:rsidR="00A90D6C" w:rsidRPr="00230E2D" w:rsidRDefault="00A90D6C" w:rsidP="00080918">
      <w:pPr>
        <w:pStyle w:val="BodyText"/>
        <w:jc w:val="both"/>
        <w:rPr>
          <w:rFonts w:cs="Arial"/>
          <w:b/>
          <w:szCs w:val="24"/>
        </w:rPr>
      </w:pPr>
      <w:r w:rsidRPr="00230E2D">
        <w:rPr>
          <w:rFonts w:cs="Arial"/>
          <w:szCs w:val="24"/>
        </w:rPr>
        <w:t xml:space="preserve">The Commissioner will also aim to achieve the optimum return on his investments commensurate with proper levels of security and liquidity. The risk appetite of the Commissioner is low </w:t>
      </w:r>
      <w:proofErr w:type="gramStart"/>
      <w:r w:rsidRPr="00230E2D">
        <w:rPr>
          <w:rFonts w:cs="Arial"/>
          <w:szCs w:val="24"/>
        </w:rPr>
        <w:t>in order to</w:t>
      </w:r>
      <w:proofErr w:type="gramEnd"/>
      <w:r w:rsidRPr="00230E2D">
        <w:rPr>
          <w:rFonts w:cs="Arial"/>
          <w:szCs w:val="24"/>
        </w:rPr>
        <w:t xml:space="preserve"> give priority to security of its investments.</w:t>
      </w:r>
    </w:p>
    <w:p w14:paraId="2A53A77C" w14:textId="77777777" w:rsidR="00080918" w:rsidRPr="00230E2D" w:rsidRDefault="00080918" w:rsidP="00080918">
      <w:pPr>
        <w:pStyle w:val="BodyText"/>
        <w:jc w:val="both"/>
        <w:rPr>
          <w:rFonts w:cs="Arial"/>
          <w:b/>
          <w:szCs w:val="24"/>
        </w:rPr>
      </w:pPr>
    </w:p>
    <w:p w14:paraId="664D1C35" w14:textId="77777777" w:rsidR="00080918" w:rsidRPr="0052569D" w:rsidRDefault="00080918" w:rsidP="00080918">
      <w:pPr>
        <w:pStyle w:val="BodyText"/>
        <w:jc w:val="both"/>
        <w:rPr>
          <w:rFonts w:cs="Arial"/>
          <w:szCs w:val="24"/>
          <w:highlight w:val="yellow"/>
        </w:rPr>
      </w:pPr>
    </w:p>
    <w:p w14:paraId="37400721" w14:textId="77777777" w:rsidR="00080918" w:rsidRPr="0052569D" w:rsidRDefault="00080918" w:rsidP="00080918">
      <w:pPr>
        <w:pStyle w:val="BodyText"/>
        <w:jc w:val="both"/>
        <w:rPr>
          <w:rFonts w:cs="Arial"/>
          <w:b/>
          <w:szCs w:val="24"/>
          <w:highlight w:val="yellow"/>
        </w:rPr>
      </w:pPr>
    </w:p>
    <w:p w14:paraId="2E5E49B7" w14:textId="77777777" w:rsidR="00080918" w:rsidRPr="00826D45" w:rsidRDefault="00A90D6C" w:rsidP="00080918">
      <w:pPr>
        <w:pStyle w:val="BodyText"/>
        <w:jc w:val="both"/>
        <w:rPr>
          <w:rFonts w:cs="Arial"/>
          <w:b/>
          <w:szCs w:val="24"/>
        </w:rPr>
      </w:pPr>
      <w:r w:rsidRPr="00826D45">
        <w:rPr>
          <w:rFonts w:cs="Arial"/>
          <w:b/>
          <w:szCs w:val="24"/>
        </w:rPr>
        <w:t>Current Investments</w:t>
      </w:r>
    </w:p>
    <w:p w14:paraId="723ECB51" w14:textId="77777777" w:rsidR="00D727BC" w:rsidRPr="0052569D" w:rsidRDefault="00D727BC" w:rsidP="00D727BC">
      <w:pPr>
        <w:pStyle w:val="BodyText"/>
        <w:ind w:left="720"/>
        <w:jc w:val="both"/>
        <w:rPr>
          <w:rFonts w:cs="Arial"/>
          <w:szCs w:val="24"/>
          <w:highlight w:val="yellow"/>
        </w:rPr>
      </w:pPr>
    </w:p>
    <w:p w14:paraId="6E0ADA75" w14:textId="52196965" w:rsidR="00D727BC" w:rsidRPr="00647A83" w:rsidRDefault="00D727BC" w:rsidP="00D727BC">
      <w:pPr>
        <w:ind w:left="29" w:right="53"/>
      </w:pPr>
      <w:r w:rsidRPr="00647A83">
        <w:t xml:space="preserve">At </w:t>
      </w:r>
      <w:r w:rsidR="00230E2D" w:rsidRPr="0052569D">
        <w:t>28</w:t>
      </w:r>
      <w:r w:rsidR="00230E2D" w:rsidRPr="00647A83">
        <w:t xml:space="preserve"> </w:t>
      </w:r>
      <w:r w:rsidR="000E6114" w:rsidRPr="00647A83">
        <w:t>February</w:t>
      </w:r>
      <w:r w:rsidRPr="00647A83">
        <w:t xml:space="preserve"> </w:t>
      </w:r>
      <w:r w:rsidR="00230E2D" w:rsidRPr="00647A83">
        <w:t>202</w:t>
      </w:r>
      <w:r w:rsidR="00230E2D" w:rsidRPr="0052569D">
        <w:t>1</w:t>
      </w:r>
      <w:r w:rsidR="00230E2D" w:rsidRPr="00647A83">
        <w:t xml:space="preserve"> </w:t>
      </w:r>
      <w:r w:rsidRPr="00647A83">
        <w:t xml:space="preserve">the </w:t>
      </w:r>
      <w:r w:rsidR="00BA0E50" w:rsidRPr="00647A83">
        <w:t>Commissioner</w:t>
      </w:r>
      <w:r w:rsidRPr="00647A83">
        <w:t xml:space="preserve"> held £</w:t>
      </w:r>
      <w:r w:rsidR="00647A83" w:rsidRPr="0052569D">
        <w:t>40.299</w:t>
      </w:r>
      <w:r w:rsidR="00BE0828" w:rsidRPr="00647A83">
        <w:t>m</w:t>
      </w:r>
      <w:r w:rsidRPr="00647A83">
        <w:t xml:space="preserve"> invested funds, representing income received in advance of expenditure plus balances and reserves </w:t>
      </w:r>
      <w:r w:rsidRPr="0052569D">
        <w:t xml:space="preserve">held.  </w:t>
      </w:r>
      <w:r w:rsidR="00D02840" w:rsidRPr="0052569D">
        <w:t xml:space="preserve">During </w:t>
      </w:r>
      <w:r w:rsidR="00230E2D" w:rsidRPr="0052569D">
        <w:t>2020</w:t>
      </w:r>
      <w:r w:rsidR="00D36D4D" w:rsidRPr="00647A83">
        <w:t>/</w:t>
      </w:r>
      <w:r w:rsidR="00230E2D" w:rsidRPr="00647A83">
        <w:t>2</w:t>
      </w:r>
      <w:r w:rsidR="00230E2D" w:rsidRPr="0052569D">
        <w:t>1</w:t>
      </w:r>
      <w:r w:rsidR="00230E2D" w:rsidRPr="00647A83">
        <w:t xml:space="preserve"> </w:t>
      </w:r>
      <w:r w:rsidRPr="00647A83">
        <w:t xml:space="preserve">the </w:t>
      </w:r>
      <w:r w:rsidR="00BA0E50" w:rsidRPr="00647A83">
        <w:t>Commissioner</w:t>
      </w:r>
      <w:r w:rsidRPr="00647A83">
        <w:t xml:space="preserve">’s investment balance has </w:t>
      </w:r>
      <w:r w:rsidR="00D02840" w:rsidRPr="00647A83">
        <w:t xml:space="preserve">averaged </w:t>
      </w:r>
      <w:r w:rsidR="00D02840" w:rsidRPr="00826D45">
        <w:t>at £</w:t>
      </w:r>
      <w:r w:rsidR="00826D45" w:rsidRPr="0052569D">
        <w:t>35.886</w:t>
      </w:r>
      <w:r w:rsidR="00D02840" w:rsidRPr="00826D45">
        <w:t>m,</w:t>
      </w:r>
      <w:r w:rsidR="00D02840" w:rsidRPr="00647A83">
        <w:t xml:space="preserve"> wi</w:t>
      </w:r>
      <w:r w:rsidR="004A4D02" w:rsidRPr="00826D45">
        <w:t>t</w:t>
      </w:r>
      <w:r w:rsidR="00D02840" w:rsidRPr="00826D45">
        <w:t xml:space="preserve">h </w:t>
      </w:r>
      <w:r w:rsidR="004A4D02" w:rsidRPr="00826D45">
        <w:t>the</w:t>
      </w:r>
      <w:r w:rsidR="00D02840" w:rsidRPr="00826D45">
        <w:t xml:space="preserve"> highest balance </w:t>
      </w:r>
      <w:r w:rsidR="004A4D02" w:rsidRPr="00826D45">
        <w:t>being</w:t>
      </w:r>
      <w:r w:rsidR="00D02840" w:rsidRPr="00826D45">
        <w:t xml:space="preserve"> £</w:t>
      </w:r>
      <w:r w:rsidR="00826D45">
        <w:t>83.437</w:t>
      </w:r>
      <w:r w:rsidR="00AC6CDF" w:rsidRPr="00826D45">
        <w:t>m</w:t>
      </w:r>
      <w:r w:rsidR="00B50024" w:rsidRPr="00826D45">
        <w:t xml:space="preserve">. </w:t>
      </w:r>
      <w:r w:rsidR="00BF4D6D" w:rsidRPr="00826D45">
        <w:t>T</w:t>
      </w:r>
      <w:r w:rsidRPr="00826D45">
        <w:t xml:space="preserve">he </w:t>
      </w:r>
      <w:r w:rsidR="00BA0E50" w:rsidRPr="00826D45">
        <w:t>Commissioner</w:t>
      </w:r>
      <w:r w:rsidRPr="00826D45">
        <w:t xml:space="preserve"> will only use very </w:t>
      </w:r>
      <w:r w:rsidR="00AE6210" w:rsidRPr="00826D45">
        <w:t>high-quality</w:t>
      </w:r>
      <w:r w:rsidRPr="00826D45">
        <w:t xml:space="preserve"> counterparties for investments. </w:t>
      </w:r>
      <w:r w:rsidR="00647A83" w:rsidRPr="0052569D">
        <w:t>T</w:t>
      </w:r>
      <w:r w:rsidRPr="00647A83">
        <w:t xml:space="preserve">he </w:t>
      </w:r>
      <w:r w:rsidR="00BA0E50" w:rsidRPr="00647A83">
        <w:t>Commissioner'</w:t>
      </w:r>
      <w:r w:rsidRPr="00647A83">
        <w:t xml:space="preserve">s investments </w:t>
      </w:r>
      <w:r w:rsidR="00647A83" w:rsidRPr="0052569D">
        <w:t>are principally held</w:t>
      </w:r>
      <w:r w:rsidRPr="00647A83">
        <w:t xml:space="preserve"> with </w:t>
      </w:r>
      <w:r w:rsidR="00BB243C" w:rsidRPr="00647A83">
        <w:t>LCC</w:t>
      </w:r>
      <w:r w:rsidR="00647A83" w:rsidRPr="0052569D">
        <w:t xml:space="preserve"> with the other investments </w:t>
      </w:r>
      <w:r w:rsidR="00826D45">
        <w:t>being</w:t>
      </w:r>
      <w:r w:rsidR="00647A83" w:rsidRPr="0052569D">
        <w:t xml:space="preserve"> fixed term deposits with other local authorities</w:t>
      </w:r>
      <w:r w:rsidR="00AC6CDF" w:rsidRPr="00647A83">
        <w:t>.</w:t>
      </w:r>
      <w:r w:rsidR="00BB243C" w:rsidRPr="00647A83">
        <w:t xml:space="preserve"> </w:t>
      </w:r>
      <w:r w:rsidR="00647A83" w:rsidRPr="0052569D">
        <w:t xml:space="preserve">At 28 February £34.949m is </w:t>
      </w:r>
      <w:r w:rsidR="00647A83" w:rsidRPr="0052569D">
        <w:lastRenderedPageBreak/>
        <w:t xml:space="preserve">held at LCC while £5.350m is held with local </w:t>
      </w:r>
      <w:r w:rsidR="00647A83" w:rsidRPr="00F13189">
        <w:t>authorities.</w:t>
      </w:r>
      <w:r w:rsidR="00F13189" w:rsidRPr="00F13189">
        <w:t xml:space="preserve"> </w:t>
      </w:r>
      <w:r w:rsidR="00F13189" w:rsidRPr="00105E93">
        <w:t>These balances are forecast to reduce to around £20m by the end of March 2021</w:t>
      </w:r>
      <w:r w:rsidR="00F13189">
        <w:t>.</w:t>
      </w:r>
    </w:p>
    <w:p w14:paraId="316BBA68" w14:textId="77777777" w:rsidR="00D727BC" w:rsidRPr="0052569D" w:rsidRDefault="00D727BC" w:rsidP="00D727BC">
      <w:pPr>
        <w:spacing w:line="259" w:lineRule="auto"/>
        <w:ind w:left="34"/>
        <w:rPr>
          <w:highlight w:val="yellow"/>
        </w:rPr>
      </w:pPr>
      <w:r w:rsidRPr="0052569D">
        <w:rPr>
          <w:highlight w:val="yellow"/>
        </w:rPr>
        <w:t xml:space="preserve"> </w:t>
      </w:r>
    </w:p>
    <w:p w14:paraId="0CDB0405" w14:textId="47EC569B" w:rsidR="00D727BC" w:rsidRPr="0052569D" w:rsidRDefault="00D727BC" w:rsidP="00D727BC">
      <w:pPr>
        <w:spacing w:line="259" w:lineRule="auto"/>
        <w:ind w:left="34"/>
      </w:pPr>
      <w:r w:rsidRPr="00826D45">
        <w:t xml:space="preserve">The </w:t>
      </w:r>
      <w:r w:rsidR="00BA0E50" w:rsidRPr="00826D45">
        <w:t>Commissioner</w:t>
      </w:r>
      <w:r w:rsidRPr="00826D45">
        <w:t xml:space="preserve"> currently has access to a call (instant access) account</w:t>
      </w:r>
      <w:r w:rsidR="00D02840" w:rsidRPr="00826D45">
        <w:t xml:space="preserve"> with LCC. This </w:t>
      </w:r>
      <w:r w:rsidR="00BA0E50" w:rsidRPr="0052569D">
        <w:t xml:space="preserve">currently </w:t>
      </w:r>
      <w:r w:rsidRPr="0052569D">
        <w:t xml:space="preserve">pays bank rate, </w:t>
      </w:r>
      <w:r w:rsidR="00D02840" w:rsidRPr="0052569D">
        <w:t>(</w:t>
      </w:r>
      <w:r w:rsidRPr="0052569D">
        <w:t xml:space="preserve">currently </w:t>
      </w:r>
      <w:r w:rsidR="000512F1" w:rsidRPr="0052569D">
        <w:t>0.</w:t>
      </w:r>
      <w:r w:rsidR="00BF4886" w:rsidRPr="0052569D">
        <w:t>10</w:t>
      </w:r>
      <w:r w:rsidRPr="0052569D">
        <w:t>%</w:t>
      </w:r>
      <w:r w:rsidR="00D02840" w:rsidRPr="0052569D">
        <w:t>)</w:t>
      </w:r>
      <w:r w:rsidRPr="0052569D">
        <w:t xml:space="preserve">. Each working day the balance on the </w:t>
      </w:r>
      <w:r w:rsidR="00BA0E50" w:rsidRPr="0052569D">
        <w:t>Commissioner</w:t>
      </w:r>
      <w:r w:rsidRPr="0052569D">
        <w:t xml:space="preserve">'s Current Account is invested in this to ensure that the interest received on surplus balances is maximised.   </w:t>
      </w:r>
    </w:p>
    <w:p w14:paraId="4935FE4B" w14:textId="77777777" w:rsidR="00D727BC" w:rsidRPr="0052569D" w:rsidRDefault="00D727BC" w:rsidP="00D727BC">
      <w:pPr>
        <w:spacing w:line="259" w:lineRule="auto"/>
        <w:ind w:left="34"/>
      </w:pPr>
    </w:p>
    <w:p w14:paraId="37697237" w14:textId="0C041424" w:rsidR="00D727BC" w:rsidRPr="00DA3498" w:rsidRDefault="00D727BC" w:rsidP="00D14A13">
      <w:pPr>
        <w:spacing w:line="259" w:lineRule="auto"/>
        <w:ind w:left="34"/>
      </w:pPr>
      <w:r w:rsidRPr="0052569D">
        <w:t xml:space="preserve">The interest earned </w:t>
      </w:r>
      <w:r w:rsidR="004145A9">
        <w:t xml:space="preserve">during the year </w:t>
      </w:r>
      <w:r w:rsidRPr="004145A9">
        <w:t xml:space="preserve">as at </w:t>
      </w:r>
      <w:r w:rsidR="00826D45" w:rsidRPr="004145A9">
        <w:t>2</w:t>
      </w:r>
      <w:r w:rsidR="00826D45" w:rsidRPr="0052569D">
        <w:t>8</w:t>
      </w:r>
      <w:r w:rsidR="00826D45" w:rsidRPr="00826D45">
        <w:t xml:space="preserve"> </w:t>
      </w:r>
      <w:r w:rsidR="00AC6CDF" w:rsidRPr="00826D45">
        <w:t xml:space="preserve">February </w:t>
      </w:r>
      <w:r w:rsidR="00826D45" w:rsidRPr="00826D45">
        <w:t>202</w:t>
      </w:r>
      <w:r w:rsidR="00826D45" w:rsidRPr="0052569D">
        <w:t>1</w:t>
      </w:r>
      <w:r w:rsidR="00826D45" w:rsidRPr="00826D45">
        <w:t xml:space="preserve"> </w:t>
      </w:r>
      <w:r w:rsidRPr="00826D45">
        <w:t xml:space="preserve">is </w:t>
      </w:r>
      <w:r w:rsidR="00F76FEF" w:rsidRPr="00826D45">
        <w:t>£</w:t>
      </w:r>
      <w:r w:rsidR="00DA3498">
        <w:t>0.</w:t>
      </w:r>
      <w:r w:rsidR="001244FD">
        <w:t>0</w:t>
      </w:r>
      <w:r w:rsidR="004145A9">
        <w:t>42</w:t>
      </w:r>
      <w:r w:rsidR="00AC6CDF" w:rsidRPr="00826D45">
        <w:t>m</w:t>
      </w:r>
      <w:r w:rsidR="001700A8">
        <w:t xml:space="preserve"> </w:t>
      </w:r>
      <w:r w:rsidRPr="00826D45">
        <w:t xml:space="preserve">at an annualised rate of </w:t>
      </w:r>
      <w:r w:rsidR="004145A9">
        <w:t>0.13%</w:t>
      </w:r>
      <w:r w:rsidRPr="00826D45">
        <w:t xml:space="preserve">. This compares favourably with the benchmark </w:t>
      </w:r>
      <w:proofErr w:type="gramStart"/>
      <w:r w:rsidRPr="00826D45">
        <w:t>7 day</w:t>
      </w:r>
      <w:proofErr w:type="gramEnd"/>
      <w:r w:rsidRPr="00826D45">
        <w:t xml:space="preserve"> LIBID which averages</w:t>
      </w:r>
      <w:r w:rsidR="000C3958" w:rsidRPr="00826D45">
        <w:t xml:space="preserve"> </w:t>
      </w:r>
      <w:r w:rsidR="00031E1B">
        <w:t>0.115</w:t>
      </w:r>
      <w:r w:rsidRPr="00DA3498">
        <w:t>% over the same period</w:t>
      </w:r>
      <w:r w:rsidR="000C3958" w:rsidRPr="00DA3498">
        <w:t>.</w:t>
      </w:r>
      <w:r w:rsidRPr="00DA3498">
        <w:t xml:space="preserve"> </w:t>
      </w:r>
    </w:p>
    <w:p w14:paraId="634F8231" w14:textId="77777777" w:rsidR="00D727BC" w:rsidRPr="0052569D" w:rsidRDefault="00D727BC" w:rsidP="00D727BC">
      <w:pPr>
        <w:spacing w:line="259" w:lineRule="auto"/>
        <w:ind w:left="34"/>
        <w:rPr>
          <w:highlight w:val="yellow"/>
        </w:rPr>
      </w:pPr>
    </w:p>
    <w:p w14:paraId="7C428650" w14:textId="77777777" w:rsidR="00B96EF3" w:rsidRPr="00105E93" w:rsidRDefault="000F067E" w:rsidP="00D727BC">
      <w:pPr>
        <w:ind w:left="29" w:right="53"/>
        <w:rPr>
          <w:u w:val="single"/>
        </w:rPr>
      </w:pPr>
      <w:r w:rsidRPr="00105E93">
        <w:rPr>
          <w:u w:val="single"/>
        </w:rPr>
        <w:t xml:space="preserve">Investment </w:t>
      </w:r>
      <w:proofErr w:type="gramStart"/>
      <w:r w:rsidRPr="00105E93">
        <w:rPr>
          <w:u w:val="single"/>
        </w:rPr>
        <w:t>Counter-parties</w:t>
      </w:r>
      <w:proofErr w:type="gramEnd"/>
    </w:p>
    <w:p w14:paraId="1F279636" w14:textId="77777777" w:rsidR="000F067E" w:rsidRPr="00E0354C" w:rsidRDefault="000F067E" w:rsidP="00D727BC">
      <w:pPr>
        <w:ind w:left="29" w:right="53"/>
      </w:pPr>
    </w:p>
    <w:p w14:paraId="4CBA65DD" w14:textId="725868E5" w:rsidR="00B96EF3" w:rsidRPr="00E0354C" w:rsidRDefault="000F067E" w:rsidP="00B96EF3">
      <w:pPr>
        <w:ind w:left="29" w:right="53"/>
      </w:pPr>
      <w:r w:rsidRPr="00E0354C">
        <w:t xml:space="preserve">With security and liquidity being </w:t>
      </w:r>
      <w:proofErr w:type="gramStart"/>
      <w:r w:rsidRPr="00E0354C">
        <w:t>key drivers of the investment strategy</w:t>
      </w:r>
      <w:proofErr w:type="gramEnd"/>
      <w:r w:rsidRPr="00E0354C">
        <w:t xml:space="preserve"> it is expected that the LCC call account will remain a key part of the investments. However, the Commissioner can invest with other local authorities. </w:t>
      </w:r>
      <w:proofErr w:type="spellStart"/>
      <w:r w:rsidRPr="00E0354C">
        <w:t>Arlingclose</w:t>
      </w:r>
      <w:proofErr w:type="spellEnd"/>
      <w:r w:rsidRPr="00E0354C">
        <w:t xml:space="preserve">, the County Council's Treasury Management advisor, state they are "comfortable with clients making loans to UK local authorities for periods up to two years, subject to this meeting their approved strategy. For periods longer than two years we recommend that additional due diligence is undertaken prior to a loan being made."  On this basis it is proposed that the investments to local authorities are limited as follows: </w:t>
      </w:r>
    </w:p>
    <w:p w14:paraId="25E2BDBB" w14:textId="77777777" w:rsidR="00B96EF3" w:rsidRPr="00E0354C" w:rsidRDefault="00B96EF3" w:rsidP="00B96EF3">
      <w:pPr>
        <w:rPr>
          <w:rFonts w:cs="Arial"/>
          <w:szCs w:val="24"/>
        </w:rPr>
      </w:pPr>
      <w:r w:rsidRPr="00E0354C">
        <w:rPr>
          <w:rFonts w:cs="Arial"/>
          <w:szCs w:val="24"/>
        </w:rPr>
        <w:t xml:space="preserve">                                         </w:t>
      </w:r>
    </w:p>
    <w:tbl>
      <w:tblPr>
        <w:tblStyle w:val="TableGrid1"/>
        <w:tblW w:w="0" w:type="auto"/>
        <w:tblLook w:val="04A0" w:firstRow="1" w:lastRow="0" w:firstColumn="1" w:lastColumn="0" w:noHBand="0" w:noVBand="1"/>
      </w:tblPr>
      <w:tblGrid>
        <w:gridCol w:w="2254"/>
        <w:gridCol w:w="2254"/>
        <w:gridCol w:w="2254"/>
        <w:gridCol w:w="2255"/>
      </w:tblGrid>
      <w:tr w:rsidR="00B96EF3" w:rsidRPr="00E0354C" w14:paraId="3DFFE6E7" w14:textId="77777777" w:rsidTr="00B96EF3">
        <w:tc>
          <w:tcPr>
            <w:tcW w:w="2254" w:type="dxa"/>
          </w:tcPr>
          <w:p w14:paraId="06957EBC" w14:textId="77777777" w:rsidR="00B96EF3" w:rsidRPr="00E0354C" w:rsidRDefault="00B96EF3" w:rsidP="00B96EF3">
            <w:pPr>
              <w:rPr>
                <w:rFonts w:cs="Arial"/>
                <w:szCs w:val="24"/>
              </w:rPr>
            </w:pPr>
          </w:p>
        </w:tc>
        <w:tc>
          <w:tcPr>
            <w:tcW w:w="2254" w:type="dxa"/>
          </w:tcPr>
          <w:p w14:paraId="302BB6EF" w14:textId="77777777" w:rsidR="00B96EF3" w:rsidRPr="00E0354C" w:rsidRDefault="00B96EF3" w:rsidP="00B96EF3">
            <w:pPr>
              <w:rPr>
                <w:rFonts w:cs="Arial"/>
                <w:szCs w:val="24"/>
              </w:rPr>
            </w:pPr>
            <w:r w:rsidRPr="00E0354C">
              <w:rPr>
                <w:rFonts w:cs="Arial"/>
                <w:szCs w:val="24"/>
              </w:rPr>
              <w:t>Maximum individual investment (£m)</w:t>
            </w:r>
          </w:p>
        </w:tc>
        <w:tc>
          <w:tcPr>
            <w:tcW w:w="2254" w:type="dxa"/>
          </w:tcPr>
          <w:p w14:paraId="1815B0FD" w14:textId="77777777" w:rsidR="00B96EF3" w:rsidRPr="00E0354C" w:rsidRDefault="00B96EF3" w:rsidP="00B96EF3">
            <w:pPr>
              <w:rPr>
                <w:rFonts w:cs="Arial"/>
                <w:szCs w:val="24"/>
              </w:rPr>
            </w:pPr>
            <w:r w:rsidRPr="00E0354C">
              <w:rPr>
                <w:rFonts w:cs="Arial"/>
                <w:szCs w:val="24"/>
              </w:rPr>
              <w:t>Maximum total investment (£m)</w:t>
            </w:r>
          </w:p>
        </w:tc>
        <w:tc>
          <w:tcPr>
            <w:tcW w:w="2255" w:type="dxa"/>
          </w:tcPr>
          <w:p w14:paraId="13339C4D" w14:textId="77777777" w:rsidR="00B96EF3" w:rsidRPr="00E0354C" w:rsidRDefault="00B96EF3" w:rsidP="00B96EF3">
            <w:pPr>
              <w:rPr>
                <w:rFonts w:cs="Arial"/>
                <w:szCs w:val="24"/>
              </w:rPr>
            </w:pPr>
            <w:r w:rsidRPr="00E0354C">
              <w:rPr>
                <w:rFonts w:cs="Arial"/>
                <w:szCs w:val="24"/>
              </w:rPr>
              <w:t>Maximum period</w:t>
            </w:r>
          </w:p>
        </w:tc>
      </w:tr>
      <w:tr w:rsidR="00B96EF3" w:rsidRPr="00E0354C" w14:paraId="744CA5A6" w14:textId="77777777" w:rsidTr="00B96EF3">
        <w:tc>
          <w:tcPr>
            <w:tcW w:w="2254" w:type="dxa"/>
          </w:tcPr>
          <w:p w14:paraId="1D49F6D9" w14:textId="77777777" w:rsidR="00B96EF3" w:rsidRPr="00E0354C" w:rsidRDefault="00B96EF3" w:rsidP="00BC4D15">
            <w:pPr>
              <w:rPr>
                <w:rFonts w:cs="Arial"/>
                <w:szCs w:val="24"/>
              </w:rPr>
            </w:pPr>
            <w:r w:rsidRPr="00E0354C">
              <w:rPr>
                <w:rFonts w:cs="Arial"/>
                <w:szCs w:val="24"/>
              </w:rPr>
              <w:t xml:space="preserve">Up to </w:t>
            </w:r>
            <w:r w:rsidR="00BC4D15" w:rsidRPr="00E0354C">
              <w:rPr>
                <w:rFonts w:cs="Arial"/>
                <w:szCs w:val="24"/>
              </w:rPr>
              <w:t xml:space="preserve">2 </w:t>
            </w:r>
            <w:r w:rsidRPr="00E0354C">
              <w:rPr>
                <w:rFonts w:cs="Arial"/>
                <w:szCs w:val="24"/>
              </w:rPr>
              <w:t>years</w:t>
            </w:r>
          </w:p>
        </w:tc>
        <w:tc>
          <w:tcPr>
            <w:tcW w:w="2254" w:type="dxa"/>
          </w:tcPr>
          <w:p w14:paraId="398FAEE3" w14:textId="77777777" w:rsidR="00B96EF3" w:rsidRPr="00E0354C" w:rsidRDefault="00B96EF3" w:rsidP="00B96EF3">
            <w:pPr>
              <w:rPr>
                <w:rFonts w:cs="Arial"/>
                <w:szCs w:val="24"/>
              </w:rPr>
            </w:pPr>
            <w:r w:rsidRPr="00E0354C">
              <w:rPr>
                <w:rFonts w:cs="Arial"/>
                <w:szCs w:val="24"/>
              </w:rPr>
              <w:t>10</w:t>
            </w:r>
          </w:p>
        </w:tc>
        <w:tc>
          <w:tcPr>
            <w:tcW w:w="2254" w:type="dxa"/>
          </w:tcPr>
          <w:p w14:paraId="5834FBF3" w14:textId="77777777" w:rsidR="00B96EF3" w:rsidRPr="00E0354C" w:rsidRDefault="00B96EF3" w:rsidP="00B96EF3">
            <w:pPr>
              <w:rPr>
                <w:rFonts w:cs="Arial"/>
                <w:szCs w:val="24"/>
              </w:rPr>
            </w:pPr>
            <w:r w:rsidRPr="00E0354C">
              <w:rPr>
                <w:rFonts w:cs="Arial"/>
                <w:szCs w:val="24"/>
              </w:rPr>
              <w:t>250</w:t>
            </w:r>
          </w:p>
        </w:tc>
        <w:tc>
          <w:tcPr>
            <w:tcW w:w="2255" w:type="dxa"/>
          </w:tcPr>
          <w:p w14:paraId="03B2900B" w14:textId="77777777" w:rsidR="00B96EF3" w:rsidRPr="00E0354C" w:rsidRDefault="00B96EF3" w:rsidP="00BC4D15">
            <w:pPr>
              <w:rPr>
                <w:rFonts w:cs="Arial"/>
                <w:szCs w:val="24"/>
              </w:rPr>
            </w:pPr>
            <w:r w:rsidRPr="00E0354C">
              <w:rPr>
                <w:rFonts w:cs="Arial"/>
                <w:szCs w:val="24"/>
              </w:rPr>
              <w:t xml:space="preserve">  </w:t>
            </w:r>
            <w:r w:rsidR="00BC4D15" w:rsidRPr="00E0354C">
              <w:rPr>
                <w:rFonts w:cs="Arial"/>
                <w:szCs w:val="24"/>
              </w:rPr>
              <w:t xml:space="preserve">2 </w:t>
            </w:r>
            <w:r w:rsidRPr="00E0354C">
              <w:rPr>
                <w:rFonts w:cs="Arial"/>
                <w:szCs w:val="24"/>
              </w:rPr>
              <w:t>years</w:t>
            </w:r>
          </w:p>
        </w:tc>
      </w:tr>
      <w:tr w:rsidR="00B96EF3" w:rsidRPr="00E0354C" w14:paraId="54F4B1FF" w14:textId="77777777" w:rsidTr="00B96EF3">
        <w:tc>
          <w:tcPr>
            <w:tcW w:w="2254" w:type="dxa"/>
          </w:tcPr>
          <w:p w14:paraId="3B7BBF3A" w14:textId="77777777" w:rsidR="00B96EF3" w:rsidRPr="00E0354C" w:rsidRDefault="00B96EF3" w:rsidP="00BC4D15">
            <w:pPr>
              <w:rPr>
                <w:rFonts w:cs="Arial"/>
                <w:szCs w:val="24"/>
              </w:rPr>
            </w:pPr>
            <w:r w:rsidRPr="00E0354C">
              <w:rPr>
                <w:rFonts w:cs="Arial"/>
                <w:szCs w:val="24"/>
              </w:rPr>
              <w:t xml:space="preserve">Over </w:t>
            </w:r>
            <w:r w:rsidR="00BC4D15" w:rsidRPr="00E0354C">
              <w:rPr>
                <w:rFonts w:cs="Arial"/>
                <w:szCs w:val="24"/>
              </w:rPr>
              <w:t xml:space="preserve">2 </w:t>
            </w:r>
            <w:r w:rsidRPr="00E0354C">
              <w:rPr>
                <w:rFonts w:cs="Arial"/>
                <w:szCs w:val="24"/>
              </w:rPr>
              <w:t>years</w:t>
            </w:r>
          </w:p>
        </w:tc>
        <w:tc>
          <w:tcPr>
            <w:tcW w:w="2254" w:type="dxa"/>
          </w:tcPr>
          <w:p w14:paraId="1563D988" w14:textId="77777777" w:rsidR="00B96EF3" w:rsidRPr="00E0354C" w:rsidRDefault="00B96EF3" w:rsidP="00B96EF3">
            <w:pPr>
              <w:rPr>
                <w:rFonts w:cs="Arial"/>
                <w:szCs w:val="24"/>
              </w:rPr>
            </w:pPr>
            <w:r w:rsidRPr="00E0354C">
              <w:rPr>
                <w:rFonts w:cs="Arial"/>
                <w:szCs w:val="24"/>
              </w:rPr>
              <w:t>10</w:t>
            </w:r>
          </w:p>
        </w:tc>
        <w:tc>
          <w:tcPr>
            <w:tcW w:w="2254" w:type="dxa"/>
          </w:tcPr>
          <w:p w14:paraId="329CF87F" w14:textId="77777777" w:rsidR="00B96EF3" w:rsidRPr="00E0354C" w:rsidRDefault="00B96EF3" w:rsidP="00B96EF3">
            <w:pPr>
              <w:rPr>
                <w:rFonts w:cs="Arial"/>
                <w:szCs w:val="24"/>
              </w:rPr>
            </w:pPr>
            <w:r w:rsidRPr="00E0354C">
              <w:rPr>
                <w:rFonts w:cs="Arial"/>
                <w:szCs w:val="24"/>
              </w:rPr>
              <w:t>50</w:t>
            </w:r>
          </w:p>
        </w:tc>
        <w:tc>
          <w:tcPr>
            <w:tcW w:w="2255" w:type="dxa"/>
          </w:tcPr>
          <w:p w14:paraId="4AF5DB8E" w14:textId="77777777" w:rsidR="00B96EF3" w:rsidRPr="00E0354C" w:rsidRDefault="00B96EF3" w:rsidP="00B96EF3">
            <w:pPr>
              <w:rPr>
                <w:rFonts w:cs="Arial"/>
                <w:szCs w:val="24"/>
              </w:rPr>
            </w:pPr>
            <w:r w:rsidRPr="00E0354C">
              <w:rPr>
                <w:rFonts w:cs="Arial"/>
                <w:szCs w:val="24"/>
              </w:rPr>
              <w:t>10 years</w:t>
            </w:r>
          </w:p>
        </w:tc>
      </w:tr>
    </w:tbl>
    <w:p w14:paraId="4A5D748E" w14:textId="77777777" w:rsidR="00B96EF3" w:rsidRPr="00E0354C" w:rsidRDefault="00B96EF3" w:rsidP="00B96EF3">
      <w:pPr>
        <w:ind w:left="29" w:right="53"/>
      </w:pPr>
    </w:p>
    <w:p w14:paraId="7E4D3B28" w14:textId="13856B65" w:rsidR="00B96EF3" w:rsidRPr="00E0354C" w:rsidRDefault="00B96EF3" w:rsidP="00B96EF3">
      <w:pPr>
        <w:ind w:left="29" w:right="53"/>
      </w:pPr>
      <w:r w:rsidRPr="00E0354C">
        <w:t>The investment in LCC as part of the call account arrangement is excluded from the above limits.</w:t>
      </w:r>
      <w:r w:rsidR="00AD2DEF" w:rsidRPr="00E0354C">
        <w:t xml:space="preserve"> The balance on this account is dependent upon short term cash flows and therefore does not have a limit.</w:t>
      </w:r>
      <w:r w:rsidRPr="00E0354C">
        <w:t xml:space="preserve">                                        </w:t>
      </w:r>
    </w:p>
    <w:p w14:paraId="73E369FC" w14:textId="77777777" w:rsidR="00D727BC" w:rsidRPr="00E0354C" w:rsidRDefault="00D727BC" w:rsidP="00D727BC">
      <w:pPr>
        <w:spacing w:line="259" w:lineRule="auto"/>
        <w:ind w:left="34"/>
      </w:pPr>
    </w:p>
    <w:p w14:paraId="7665DD82" w14:textId="77777777" w:rsidR="00D727BC" w:rsidRPr="00E0354C" w:rsidRDefault="00D727BC" w:rsidP="00D727BC">
      <w:pPr>
        <w:ind w:left="29" w:right="53"/>
      </w:pPr>
      <w:r w:rsidRPr="00E0354C">
        <w:t xml:space="preserve">The </w:t>
      </w:r>
      <w:r w:rsidR="00E6595C" w:rsidRPr="00E0354C">
        <w:t>Commissioner</w:t>
      </w:r>
      <w:r w:rsidRPr="00E0354C">
        <w:t xml:space="preserve"> may invest surplus funds with any of the counterparties in the table below, subject to the cash and time limits shown.  </w:t>
      </w:r>
    </w:p>
    <w:p w14:paraId="19D312B3" w14:textId="77777777" w:rsidR="00047E6D" w:rsidRPr="00E0354C" w:rsidRDefault="00047E6D" w:rsidP="00D727BC">
      <w:pPr>
        <w:ind w:left="29" w:right="53"/>
      </w:pPr>
    </w:p>
    <w:p w14:paraId="51811C31" w14:textId="77777777" w:rsidR="00D727BC" w:rsidRPr="00E0354C" w:rsidRDefault="00D727BC" w:rsidP="00D727BC">
      <w:pPr>
        <w:spacing w:line="259" w:lineRule="auto"/>
        <w:ind w:left="34" w:right="484"/>
      </w:pPr>
      <w:r w:rsidRPr="00E0354C">
        <w:t xml:space="preserve"> </w:t>
      </w:r>
    </w:p>
    <w:tbl>
      <w:tblPr>
        <w:tblStyle w:val="TableGrid0"/>
        <w:tblW w:w="8930" w:type="dxa"/>
        <w:tblInd w:w="317" w:type="dxa"/>
        <w:tblCellMar>
          <w:right w:w="21" w:type="dxa"/>
        </w:tblCellMar>
        <w:tblLook w:val="04A0" w:firstRow="1" w:lastRow="0" w:firstColumn="1" w:lastColumn="0" w:noHBand="0" w:noVBand="1"/>
      </w:tblPr>
      <w:tblGrid>
        <w:gridCol w:w="5387"/>
        <w:gridCol w:w="954"/>
        <w:gridCol w:w="1233"/>
        <w:gridCol w:w="1356"/>
      </w:tblGrid>
      <w:tr w:rsidR="00D727BC" w:rsidRPr="00E0354C" w14:paraId="30F5BDE9" w14:textId="77777777" w:rsidTr="00835E50">
        <w:trPr>
          <w:trHeight w:val="516"/>
        </w:trPr>
        <w:tc>
          <w:tcPr>
            <w:tcW w:w="5387" w:type="dxa"/>
            <w:tcBorders>
              <w:top w:val="single" w:sz="4" w:space="0" w:color="000000"/>
              <w:left w:val="single" w:sz="4" w:space="0" w:color="000000"/>
              <w:bottom w:val="single" w:sz="4" w:space="0" w:color="000000"/>
              <w:right w:val="nil"/>
            </w:tcBorders>
            <w:vAlign w:val="center"/>
          </w:tcPr>
          <w:p w14:paraId="6123625C" w14:textId="77777777" w:rsidR="00D727BC" w:rsidRPr="00E0354C" w:rsidRDefault="00D727BC" w:rsidP="00835E50">
            <w:pPr>
              <w:spacing w:line="259" w:lineRule="auto"/>
              <w:ind w:left="108"/>
            </w:pPr>
            <w:r w:rsidRPr="00E0354C">
              <w:rPr>
                <w:b/>
                <w:sz w:val="22"/>
              </w:rPr>
              <w:t xml:space="preserve">Counterparty </w:t>
            </w:r>
          </w:p>
        </w:tc>
        <w:tc>
          <w:tcPr>
            <w:tcW w:w="954" w:type="dxa"/>
            <w:tcBorders>
              <w:top w:val="single" w:sz="4" w:space="0" w:color="000000"/>
              <w:left w:val="nil"/>
              <w:bottom w:val="single" w:sz="4" w:space="0" w:color="000000"/>
              <w:right w:val="single" w:sz="4" w:space="0" w:color="000000"/>
            </w:tcBorders>
          </w:tcPr>
          <w:p w14:paraId="2581461B" w14:textId="77777777" w:rsidR="00D727BC" w:rsidRPr="00E0354C" w:rsidRDefault="00D727BC" w:rsidP="00835E50">
            <w:pPr>
              <w:spacing w:after="160" w:line="259" w:lineRule="auto"/>
            </w:pPr>
          </w:p>
        </w:tc>
        <w:tc>
          <w:tcPr>
            <w:tcW w:w="1233" w:type="dxa"/>
            <w:tcBorders>
              <w:top w:val="single" w:sz="4" w:space="0" w:color="000000"/>
              <w:left w:val="single" w:sz="4" w:space="0" w:color="000000"/>
              <w:bottom w:val="single" w:sz="4" w:space="0" w:color="000000"/>
              <w:right w:val="single" w:sz="4" w:space="0" w:color="000000"/>
            </w:tcBorders>
            <w:vAlign w:val="center"/>
          </w:tcPr>
          <w:p w14:paraId="6B6B35C0" w14:textId="77777777" w:rsidR="00D727BC" w:rsidRPr="00E0354C" w:rsidRDefault="00D727BC" w:rsidP="00835E50">
            <w:pPr>
              <w:spacing w:line="259" w:lineRule="auto"/>
              <w:ind w:left="120"/>
            </w:pPr>
            <w:r w:rsidRPr="00E0354C">
              <w:rPr>
                <w:b/>
                <w:sz w:val="22"/>
              </w:rPr>
              <w:t xml:space="preserve">Cash limit </w:t>
            </w:r>
          </w:p>
        </w:tc>
        <w:tc>
          <w:tcPr>
            <w:tcW w:w="1356" w:type="dxa"/>
            <w:tcBorders>
              <w:top w:val="single" w:sz="4" w:space="0" w:color="000000"/>
              <w:left w:val="single" w:sz="4" w:space="0" w:color="000000"/>
              <w:bottom w:val="single" w:sz="4" w:space="0" w:color="000000"/>
              <w:right w:val="single" w:sz="4" w:space="0" w:color="000000"/>
            </w:tcBorders>
          </w:tcPr>
          <w:p w14:paraId="0AF9EC95" w14:textId="77777777" w:rsidR="00D727BC" w:rsidRPr="00E0354C" w:rsidRDefault="00D727BC" w:rsidP="00835E50">
            <w:pPr>
              <w:spacing w:line="259" w:lineRule="auto"/>
              <w:ind w:left="102" w:right="22"/>
              <w:jc w:val="center"/>
            </w:pPr>
            <w:r w:rsidRPr="00E0354C">
              <w:rPr>
                <w:b/>
                <w:sz w:val="22"/>
              </w:rPr>
              <w:t xml:space="preserve">Time limit † </w:t>
            </w:r>
          </w:p>
        </w:tc>
      </w:tr>
      <w:tr w:rsidR="00D727BC" w:rsidRPr="00E0354C" w14:paraId="7C86029C" w14:textId="77777777" w:rsidTr="00835E50">
        <w:trPr>
          <w:trHeight w:val="350"/>
        </w:trPr>
        <w:tc>
          <w:tcPr>
            <w:tcW w:w="5387" w:type="dxa"/>
            <w:vMerge w:val="restart"/>
            <w:tcBorders>
              <w:top w:val="single" w:sz="4" w:space="0" w:color="000000"/>
              <w:left w:val="single" w:sz="4" w:space="0" w:color="000000"/>
              <w:bottom w:val="single" w:sz="4" w:space="0" w:color="000000"/>
              <w:right w:val="single" w:sz="4" w:space="0" w:color="000000"/>
            </w:tcBorders>
            <w:vAlign w:val="center"/>
          </w:tcPr>
          <w:p w14:paraId="5E836CCF" w14:textId="77777777" w:rsidR="00D727BC" w:rsidRPr="00E0354C" w:rsidRDefault="00EC3A95" w:rsidP="00835E50">
            <w:pPr>
              <w:spacing w:line="259" w:lineRule="auto"/>
              <w:ind w:left="108"/>
            </w:pPr>
            <w:r w:rsidRPr="00E0354C">
              <w:rPr>
                <w:sz w:val="22"/>
              </w:rPr>
              <w:t>Secured Bank Deposits, Reverse repurchase Agreements</w:t>
            </w:r>
            <w:r w:rsidR="00D727BC" w:rsidRPr="00E0354C">
              <w:rPr>
                <w:sz w:val="22"/>
              </w:rPr>
              <w:t xml:space="preserve"> </w:t>
            </w:r>
          </w:p>
        </w:tc>
        <w:tc>
          <w:tcPr>
            <w:tcW w:w="954" w:type="dxa"/>
            <w:tcBorders>
              <w:top w:val="single" w:sz="4" w:space="0" w:color="000000"/>
              <w:left w:val="single" w:sz="4" w:space="0" w:color="000000"/>
              <w:bottom w:val="single" w:sz="4" w:space="0" w:color="000000"/>
              <w:right w:val="single" w:sz="4" w:space="0" w:color="000000"/>
            </w:tcBorders>
          </w:tcPr>
          <w:p w14:paraId="72F220E1" w14:textId="77777777" w:rsidR="00D727BC" w:rsidRPr="00E0354C" w:rsidRDefault="00D727BC" w:rsidP="00835E50">
            <w:pPr>
              <w:spacing w:line="259" w:lineRule="auto"/>
              <w:ind w:left="226"/>
            </w:pPr>
            <w:r w:rsidRPr="00E0354C">
              <w:rPr>
                <w:sz w:val="22"/>
              </w:rPr>
              <w:t xml:space="preserve">AAA </w:t>
            </w:r>
          </w:p>
        </w:tc>
        <w:tc>
          <w:tcPr>
            <w:tcW w:w="1233" w:type="dxa"/>
            <w:vMerge w:val="restart"/>
            <w:tcBorders>
              <w:top w:val="single" w:sz="4" w:space="0" w:color="000000"/>
              <w:left w:val="single" w:sz="4" w:space="0" w:color="000000"/>
              <w:bottom w:val="single" w:sz="4" w:space="0" w:color="000000"/>
              <w:right w:val="single" w:sz="4" w:space="0" w:color="000000"/>
            </w:tcBorders>
            <w:vAlign w:val="center"/>
          </w:tcPr>
          <w:p w14:paraId="4DE45637" w14:textId="77777777" w:rsidR="00D727BC" w:rsidRPr="00E0354C" w:rsidRDefault="00D727BC" w:rsidP="00835E50">
            <w:pPr>
              <w:spacing w:line="259" w:lineRule="auto"/>
              <w:ind w:left="161"/>
            </w:pPr>
            <w:r w:rsidRPr="00E0354C">
              <w:rPr>
                <w:sz w:val="22"/>
              </w:rPr>
              <w:t xml:space="preserve">£5m each </w:t>
            </w:r>
          </w:p>
        </w:tc>
        <w:tc>
          <w:tcPr>
            <w:tcW w:w="1356" w:type="dxa"/>
            <w:tcBorders>
              <w:top w:val="single" w:sz="4" w:space="0" w:color="000000"/>
              <w:left w:val="single" w:sz="4" w:space="0" w:color="000000"/>
              <w:bottom w:val="single" w:sz="4" w:space="0" w:color="000000"/>
              <w:right w:val="single" w:sz="4" w:space="0" w:color="000000"/>
            </w:tcBorders>
          </w:tcPr>
          <w:p w14:paraId="4BCC6D32" w14:textId="77777777" w:rsidR="00D727BC" w:rsidRPr="00E0354C" w:rsidRDefault="00D727BC" w:rsidP="00835E50">
            <w:pPr>
              <w:spacing w:line="259" w:lineRule="auto"/>
              <w:ind w:left="21"/>
              <w:jc w:val="center"/>
            </w:pPr>
            <w:r w:rsidRPr="00E0354C">
              <w:rPr>
                <w:sz w:val="22"/>
              </w:rPr>
              <w:t xml:space="preserve">5 years* </w:t>
            </w:r>
          </w:p>
        </w:tc>
      </w:tr>
      <w:tr w:rsidR="00D727BC" w:rsidRPr="00E0354C" w14:paraId="0B328A26" w14:textId="77777777" w:rsidTr="00835E50">
        <w:trPr>
          <w:trHeight w:val="350"/>
        </w:trPr>
        <w:tc>
          <w:tcPr>
            <w:tcW w:w="0" w:type="auto"/>
            <w:vMerge/>
            <w:tcBorders>
              <w:top w:val="nil"/>
              <w:left w:val="single" w:sz="4" w:space="0" w:color="000000"/>
              <w:bottom w:val="nil"/>
              <w:right w:val="single" w:sz="4" w:space="0" w:color="000000"/>
            </w:tcBorders>
          </w:tcPr>
          <w:p w14:paraId="3C1F06A5" w14:textId="77777777" w:rsidR="00D727BC" w:rsidRPr="00E0354C" w:rsidRDefault="00D727BC" w:rsidP="00835E50">
            <w:pPr>
              <w:spacing w:after="160" w:line="259" w:lineRule="auto"/>
            </w:pPr>
          </w:p>
        </w:tc>
        <w:tc>
          <w:tcPr>
            <w:tcW w:w="954" w:type="dxa"/>
            <w:tcBorders>
              <w:top w:val="single" w:sz="4" w:space="0" w:color="000000"/>
              <w:left w:val="single" w:sz="4" w:space="0" w:color="000000"/>
              <w:bottom w:val="single" w:sz="4" w:space="0" w:color="000000"/>
              <w:right w:val="single" w:sz="4" w:space="0" w:color="000000"/>
            </w:tcBorders>
          </w:tcPr>
          <w:p w14:paraId="0D4EB80B" w14:textId="77777777" w:rsidR="00D727BC" w:rsidRPr="00E0354C" w:rsidRDefault="00D727BC" w:rsidP="00835E50">
            <w:pPr>
              <w:spacing w:line="259" w:lineRule="auto"/>
              <w:ind w:left="235"/>
            </w:pPr>
            <w:r w:rsidRPr="00E0354C">
              <w:rPr>
                <w:sz w:val="22"/>
              </w:rPr>
              <w:t xml:space="preserve">AA+ </w:t>
            </w:r>
          </w:p>
        </w:tc>
        <w:tc>
          <w:tcPr>
            <w:tcW w:w="1233" w:type="dxa"/>
            <w:vMerge/>
            <w:tcBorders>
              <w:top w:val="nil"/>
              <w:left w:val="single" w:sz="4" w:space="0" w:color="000000"/>
              <w:bottom w:val="nil"/>
              <w:right w:val="single" w:sz="4" w:space="0" w:color="000000"/>
            </w:tcBorders>
          </w:tcPr>
          <w:p w14:paraId="1FF73825" w14:textId="77777777" w:rsidR="00D727BC" w:rsidRPr="00E0354C" w:rsidRDefault="00D727BC" w:rsidP="00835E50">
            <w:pPr>
              <w:spacing w:after="160" w:line="259" w:lineRule="auto"/>
            </w:pPr>
          </w:p>
        </w:tc>
        <w:tc>
          <w:tcPr>
            <w:tcW w:w="1356" w:type="dxa"/>
            <w:tcBorders>
              <w:top w:val="single" w:sz="4" w:space="0" w:color="000000"/>
              <w:left w:val="single" w:sz="4" w:space="0" w:color="000000"/>
              <w:bottom w:val="single" w:sz="4" w:space="0" w:color="000000"/>
              <w:right w:val="single" w:sz="4" w:space="0" w:color="000000"/>
            </w:tcBorders>
          </w:tcPr>
          <w:p w14:paraId="6A31951E" w14:textId="77777777" w:rsidR="00D727BC" w:rsidRPr="00E0354C" w:rsidRDefault="00D727BC" w:rsidP="00835E50">
            <w:pPr>
              <w:spacing w:line="259" w:lineRule="auto"/>
              <w:ind w:left="21"/>
              <w:jc w:val="center"/>
            </w:pPr>
            <w:r w:rsidRPr="00E0354C">
              <w:rPr>
                <w:sz w:val="22"/>
              </w:rPr>
              <w:t xml:space="preserve">3 years* </w:t>
            </w:r>
          </w:p>
        </w:tc>
      </w:tr>
      <w:tr w:rsidR="00D727BC" w:rsidRPr="00E0354C" w14:paraId="776EB17D" w14:textId="77777777" w:rsidTr="00835E50">
        <w:trPr>
          <w:trHeight w:val="350"/>
        </w:trPr>
        <w:tc>
          <w:tcPr>
            <w:tcW w:w="0" w:type="auto"/>
            <w:vMerge/>
            <w:tcBorders>
              <w:top w:val="nil"/>
              <w:left w:val="single" w:sz="4" w:space="0" w:color="000000"/>
              <w:bottom w:val="nil"/>
              <w:right w:val="single" w:sz="4" w:space="0" w:color="000000"/>
            </w:tcBorders>
          </w:tcPr>
          <w:p w14:paraId="2CEA9D03" w14:textId="77777777" w:rsidR="00D727BC" w:rsidRPr="00E0354C" w:rsidRDefault="00D727BC" w:rsidP="00835E50">
            <w:pPr>
              <w:spacing w:after="160" w:line="259" w:lineRule="auto"/>
            </w:pPr>
          </w:p>
        </w:tc>
        <w:tc>
          <w:tcPr>
            <w:tcW w:w="954" w:type="dxa"/>
            <w:tcBorders>
              <w:top w:val="single" w:sz="4" w:space="0" w:color="000000"/>
              <w:left w:val="single" w:sz="4" w:space="0" w:color="000000"/>
              <w:bottom w:val="single" w:sz="4" w:space="0" w:color="000000"/>
              <w:right w:val="single" w:sz="4" w:space="0" w:color="000000"/>
            </w:tcBorders>
          </w:tcPr>
          <w:p w14:paraId="3F964153" w14:textId="77777777" w:rsidR="00D727BC" w:rsidRPr="00E0354C" w:rsidRDefault="00D727BC" w:rsidP="00835E50">
            <w:pPr>
              <w:spacing w:line="259" w:lineRule="auto"/>
              <w:ind w:left="22"/>
              <w:jc w:val="center"/>
            </w:pPr>
            <w:r w:rsidRPr="00E0354C">
              <w:rPr>
                <w:sz w:val="22"/>
              </w:rPr>
              <w:t xml:space="preserve">AA </w:t>
            </w:r>
          </w:p>
        </w:tc>
        <w:tc>
          <w:tcPr>
            <w:tcW w:w="1233" w:type="dxa"/>
            <w:vMerge/>
            <w:tcBorders>
              <w:top w:val="nil"/>
              <w:left w:val="single" w:sz="4" w:space="0" w:color="000000"/>
              <w:bottom w:val="nil"/>
              <w:right w:val="single" w:sz="4" w:space="0" w:color="000000"/>
            </w:tcBorders>
          </w:tcPr>
          <w:p w14:paraId="0254E0B4" w14:textId="77777777" w:rsidR="00D727BC" w:rsidRPr="00E0354C" w:rsidRDefault="00D727BC" w:rsidP="00835E50">
            <w:pPr>
              <w:spacing w:after="160" w:line="259" w:lineRule="auto"/>
            </w:pPr>
          </w:p>
        </w:tc>
        <w:tc>
          <w:tcPr>
            <w:tcW w:w="1356" w:type="dxa"/>
            <w:tcBorders>
              <w:top w:val="single" w:sz="4" w:space="0" w:color="000000"/>
              <w:left w:val="single" w:sz="4" w:space="0" w:color="000000"/>
              <w:bottom w:val="single" w:sz="4" w:space="0" w:color="000000"/>
              <w:right w:val="single" w:sz="4" w:space="0" w:color="000000"/>
            </w:tcBorders>
          </w:tcPr>
          <w:p w14:paraId="0D3CFAD0" w14:textId="77777777" w:rsidR="00D727BC" w:rsidRPr="00E0354C" w:rsidRDefault="00D727BC" w:rsidP="00835E50">
            <w:pPr>
              <w:spacing w:line="259" w:lineRule="auto"/>
              <w:ind w:left="21"/>
              <w:jc w:val="center"/>
            </w:pPr>
            <w:r w:rsidRPr="00E0354C">
              <w:rPr>
                <w:sz w:val="22"/>
              </w:rPr>
              <w:t xml:space="preserve">2 years* </w:t>
            </w:r>
          </w:p>
        </w:tc>
      </w:tr>
      <w:tr w:rsidR="00D727BC" w:rsidRPr="00E0354C" w14:paraId="5C6F0C14" w14:textId="77777777" w:rsidTr="00835E50">
        <w:trPr>
          <w:trHeight w:val="348"/>
        </w:trPr>
        <w:tc>
          <w:tcPr>
            <w:tcW w:w="0" w:type="auto"/>
            <w:vMerge/>
            <w:tcBorders>
              <w:top w:val="nil"/>
              <w:left w:val="single" w:sz="4" w:space="0" w:color="000000"/>
              <w:bottom w:val="single" w:sz="4" w:space="0" w:color="000000"/>
              <w:right w:val="single" w:sz="4" w:space="0" w:color="000000"/>
            </w:tcBorders>
          </w:tcPr>
          <w:p w14:paraId="6C9BF485" w14:textId="77777777" w:rsidR="00D727BC" w:rsidRPr="00E0354C" w:rsidRDefault="00D727BC" w:rsidP="00835E50">
            <w:pPr>
              <w:spacing w:after="160" w:line="259" w:lineRule="auto"/>
            </w:pPr>
          </w:p>
        </w:tc>
        <w:tc>
          <w:tcPr>
            <w:tcW w:w="954" w:type="dxa"/>
            <w:tcBorders>
              <w:top w:val="single" w:sz="4" w:space="0" w:color="000000"/>
              <w:left w:val="single" w:sz="4" w:space="0" w:color="000000"/>
              <w:bottom w:val="single" w:sz="4" w:space="0" w:color="000000"/>
              <w:right w:val="single" w:sz="4" w:space="0" w:color="000000"/>
            </w:tcBorders>
          </w:tcPr>
          <w:p w14:paraId="3600876E" w14:textId="77777777" w:rsidR="00D727BC" w:rsidRPr="00E0354C" w:rsidRDefault="00D727BC" w:rsidP="00835E50">
            <w:pPr>
              <w:spacing w:line="259" w:lineRule="auto"/>
              <w:ind w:left="18"/>
              <w:jc w:val="center"/>
            </w:pPr>
            <w:r w:rsidRPr="00E0354C">
              <w:rPr>
                <w:sz w:val="22"/>
              </w:rPr>
              <w:t xml:space="preserve">AA- </w:t>
            </w:r>
          </w:p>
        </w:tc>
        <w:tc>
          <w:tcPr>
            <w:tcW w:w="1233" w:type="dxa"/>
            <w:vMerge/>
            <w:tcBorders>
              <w:top w:val="nil"/>
              <w:left w:val="single" w:sz="4" w:space="0" w:color="000000"/>
              <w:bottom w:val="single" w:sz="4" w:space="0" w:color="000000"/>
              <w:right w:val="single" w:sz="4" w:space="0" w:color="000000"/>
            </w:tcBorders>
          </w:tcPr>
          <w:p w14:paraId="4D585D34" w14:textId="77777777" w:rsidR="00D727BC" w:rsidRPr="00E0354C" w:rsidRDefault="00D727BC" w:rsidP="00835E50">
            <w:pPr>
              <w:spacing w:after="160" w:line="259" w:lineRule="auto"/>
            </w:pPr>
          </w:p>
        </w:tc>
        <w:tc>
          <w:tcPr>
            <w:tcW w:w="1356" w:type="dxa"/>
            <w:tcBorders>
              <w:top w:val="single" w:sz="4" w:space="0" w:color="000000"/>
              <w:left w:val="single" w:sz="4" w:space="0" w:color="000000"/>
              <w:bottom w:val="single" w:sz="4" w:space="0" w:color="000000"/>
              <w:right w:val="single" w:sz="4" w:space="0" w:color="000000"/>
            </w:tcBorders>
          </w:tcPr>
          <w:p w14:paraId="51FC705A" w14:textId="77777777" w:rsidR="00D727BC" w:rsidRPr="00E0354C" w:rsidRDefault="00D727BC" w:rsidP="00835E50">
            <w:pPr>
              <w:spacing w:line="259" w:lineRule="auto"/>
              <w:ind w:left="21"/>
              <w:jc w:val="center"/>
            </w:pPr>
            <w:r w:rsidRPr="00E0354C">
              <w:rPr>
                <w:sz w:val="22"/>
              </w:rPr>
              <w:t xml:space="preserve">2 years* </w:t>
            </w:r>
          </w:p>
        </w:tc>
      </w:tr>
      <w:tr w:rsidR="00D727BC" w:rsidRPr="00E0354C" w14:paraId="209EF4EA" w14:textId="77777777" w:rsidTr="00835E50">
        <w:trPr>
          <w:trHeight w:val="516"/>
        </w:trPr>
        <w:tc>
          <w:tcPr>
            <w:tcW w:w="5387" w:type="dxa"/>
            <w:tcBorders>
              <w:top w:val="single" w:sz="4" w:space="0" w:color="000000"/>
              <w:left w:val="single" w:sz="4" w:space="0" w:color="000000"/>
              <w:bottom w:val="single" w:sz="4" w:space="0" w:color="000000"/>
              <w:right w:val="nil"/>
            </w:tcBorders>
          </w:tcPr>
          <w:p w14:paraId="2B2F3DDF" w14:textId="77777777" w:rsidR="00D727BC" w:rsidRPr="00E0354C" w:rsidRDefault="00D727BC" w:rsidP="00835E50">
            <w:pPr>
              <w:spacing w:line="259" w:lineRule="auto"/>
              <w:ind w:left="108"/>
            </w:pPr>
            <w:r w:rsidRPr="00E0354C">
              <w:rPr>
                <w:sz w:val="22"/>
              </w:rPr>
              <w:t xml:space="preserve">Call Accounts with banks and other organisations with </w:t>
            </w:r>
            <w:proofErr w:type="gramStart"/>
            <w:r w:rsidRPr="00E0354C">
              <w:rPr>
                <w:sz w:val="22"/>
              </w:rPr>
              <w:t>minimum  AA</w:t>
            </w:r>
            <w:proofErr w:type="gramEnd"/>
            <w:r w:rsidRPr="00E0354C">
              <w:rPr>
                <w:sz w:val="22"/>
              </w:rPr>
              <w:t xml:space="preserve">-  credit rating </w:t>
            </w:r>
          </w:p>
        </w:tc>
        <w:tc>
          <w:tcPr>
            <w:tcW w:w="954" w:type="dxa"/>
            <w:tcBorders>
              <w:top w:val="single" w:sz="4" w:space="0" w:color="000000"/>
              <w:left w:val="nil"/>
              <w:bottom w:val="single" w:sz="4" w:space="0" w:color="000000"/>
              <w:right w:val="single" w:sz="4" w:space="0" w:color="000000"/>
            </w:tcBorders>
          </w:tcPr>
          <w:p w14:paraId="4E656F59" w14:textId="77777777" w:rsidR="00D727BC" w:rsidRPr="00E0354C" w:rsidRDefault="00D727BC" w:rsidP="00835E50">
            <w:pPr>
              <w:spacing w:line="259" w:lineRule="auto"/>
              <w:ind w:left="-22"/>
            </w:pPr>
            <w:r w:rsidRPr="00E0354C">
              <w:rPr>
                <w:sz w:val="22"/>
              </w:rPr>
              <w:t xml:space="preserve"> </w:t>
            </w:r>
          </w:p>
        </w:tc>
        <w:tc>
          <w:tcPr>
            <w:tcW w:w="1233" w:type="dxa"/>
            <w:tcBorders>
              <w:top w:val="single" w:sz="4" w:space="0" w:color="000000"/>
              <w:left w:val="single" w:sz="4" w:space="0" w:color="000000"/>
              <w:bottom w:val="single" w:sz="4" w:space="0" w:color="000000"/>
              <w:right w:val="single" w:sz="4" w:space="0" w:color="000000"/>
            </w:tcBorders>
            <w:vAlign w:val="center"/>
          </w:tcPr>
          <w:p w14:paraId="246D9348" w14:textId="77777777" w:rsidR="00D727BC" w:rsidRPr="00E0354C" w:rsidRDefault="00D727BC" w:rsidP="00835E50">
            <w:pPr>
              <w:spacing w:line="259" w:lineRule="auto"/>
              <w:ind w:left="18"/>
              <w:jc w:val="center"/>
            </w:pPr>
            <w:r w:rsidRPr="00E0354C">
              <w:rPr>
                <w:sz w:val="22"/>
              </w:rPr>
              <w:t xml:space="preserve">£10m </w:t>
            </w:r>
          </w:p>
        </w:tc>
        <w:tc>
          <w:tcPr>
            <w:tcW w:w="1356" w:type="dxa"/>
            <w:tcBorders>
              <w:top w:val="single" w:sz="4" w:space="0" w:color="000000"/>
              <w:left w:val="single" w:sz="4" w:space="0" w:color="000000"/>
              <w:bottom w:val="single" w:sz="4" w:space="0" w:color="000000"/>
              <w:right w:val="single" w:sz="4" w:space="0" w:color="000000"/>
            </w:tcBorders>
            <w:vAlign w:val="center"/>
          </w:tcPr>
          <w:p w14:paraId="1AB804DB" w14:textId="77777777" w:rsidR="00D727BC" w:rsidRPr="00E0354C" w:rsidRDefault="00D727BC" w:rsidP="00835E50">
            <w:pPr>
              <w:spacing w:line="259" w:lineRule="auto"/>
              <w:ind w:left="21"/>
              <w:jc w:val="center"/>
            </w:pPr>
            <w:r w:rsidRPr="00E0354C">
              <w:rPr>
                <w:sz w:val="22"/>
              </w:rPr>
              <w:t xml:space="preserve">next day </w:t>
            </w:r>
          </w:p>
        </w:tc>
      </w:tr>
      <w:tr w:rsidR="00D727BC" w:rsidRPr="00E0354C" w14:paraId="4E90BE7B" w14:textId="77777777" w:rsidTr="00835E50">
        <w:trPr>
          <w:trHeight w:val="350"/>
        </w:trPr>
        <w:tc>
          <w:tcPr>
            <w:tcW w:w="5387" w:type="dxa"/>
            <w:tcBorders>
              <w:top w:val="single" w:sz="4" w:space="0" w:color="000000"/>
              <w:left w:val="single" w:sz="4" w:space="0" w:color="000000"/>
              <w:bottom w:val="single" w:sz="4" w:space="0" w:color="000000"/>
              <w:right w:val="nil"/>
            </w:tcBorders>
          </w:tcPr>
          <w:p w14:paraId="0D26870F" w14:textId="77777777" w:rsidR="00D727BC" w:rsidRPr="00E0354C" w:rsidRDefault="00D727BC" w:rsidP="00835E50">
            <w:pPr>
              <w:spacing w:line="259" w:lineRule="auto"/>
              <w:ind w:left="108"/>
            </w:pPr>
            <w:r w:rsidRPr="00E0354C">
              <w:rPr>
                <w:sz w:val="22"/>
              </w:rPr>
              <w:t xml:space="preserve">UK Central Government (irrespective of credit rating) </w:t>
            </w:r>
          </w:p>
        </w:tc>
        <w:tc>
          <w:tcPr>
            <w:tcW w:w="954" w:type="dxa"/>
            <w:tcBorders>
              <w:top w:val="single" w:sz="4" w:space="0" w:color="000000"/>
              <w:left w:val="nil"/>
              <w:bottom w:val="single" w:sz="4" w:space="0" w:color="000000"/>
              <w:right w:val="single" w:sz="4" w:space="0" w:color="000000"/>
            </w:tcBorders>
          </w:tcPr>
          <w:p w14:paraId="1A17F9F5" w14:textId="77777777" w:rsidR="00D727BC" w:rsidRPr="00E0354C" w:rsidRDefault="00D727BC" w:rsidP="00835E50">
            <w:pPr>
              <w:spacing w:after="160" w:line="259" w:lineRule="auto"/>
            </w:pPr>
          </w:p>
        </w:tc>
        <w:tc>
          <w:tcPr>
            <w:tcW w:w="1233" w:type="dxa"/>
            <w:tcBorders>
              <w:top w:val="single" w:sz="4" w:space="0" w:color="000000"/>
              <w:left w:val="single" w:sz="4" w:space="0" w:color="000000"/>
              <w:bottom w:val="single" w:sz="4" w:space="0" w:color="000000"/>
              <w:right w:val="single" w:sz="4" w:space="0" w:color="000000"/>
            </w:tcBorders>
          </w:tcPr>
          <w:p w14:paraId="24DCE5A0" w14:textId="77777777" w:rsidR="00D727BC" w:rsidRPr="00E0354C" w:rsidRDefault="00D727BC" w:rsidP="00835E50">
            <w:pPr>
              <w:spacing w:line="259" w:lineRule="auto"/>
              <w:ind w:left="22"/>
              <w:jc w:val="center"/>
            </w:pPr>
            <w:r w:rsidRPr="00E0354C">
              <w:rPr>
                <w:sz w:val="22"/>
              </w:rPr>
              <w:t xml:space="preserve">unlimited </w:t>
            </w:r>
          </w:p>
        </w:tc>
        <w:tc>
          <w:tcPr>
            <w:tcW w:w="1356" w:type="dxa"/>
            <w:tcBorders>
              <w:top w:val="single" w:sz="4" w:space="0" w:color="000000"/>
              <w:left w:val="single" w:sz="4" w:space="0" w:color="000000"/>
              <w:bottom w:val="single" w:sz="4" w:space="0" w:color="000000"/>
              <w:right w:val="single" w:sz="4" w:space="0" w:color="000000"/>
            </w:tcBorders>
          </w:tcPr>
          <w:p w14:paraId="4961F8C0" w14:textId="77777777" w:rsidR="00D727BC" w:rsidRPr="00E0354C" w:rsidRDefault="00D727BC" w:rsidP="00835E50">
            <w:pPr>
              <w:spacing w:line="259" w:lineRule="auto"/>
              <w:ind w:left="168"/>
            </w:pPr>
            <w:r w:rsidRPr="00E0354C">
              <w:rPr>
                <w:sz w:val="22"/>
              </w:rPr>
              <w:t xml:space="preserve">50 years** </w:t>
            </w:r>
          </w:p>
        </w:tc>
      </w:tr>
      <w:tr w:rsidR="00D727BC" w:rsidRPr="00E0354C" w14:paraId="048ADB32" w14:textId="77777777" w:rsidTr="00835E50">
        <w:trPr>
          <w:trHeight w:val="350"/>
        </w:trPr>
        <w:tc>
          <w:tcPr>
            <w:tcW w:w="5387" w:type="dxa"/>
            <w:tcBorders>
              <w:top w:val="single" w:sz="4" w:space="0" w:color="000000"/>
              <w:left w:val="single" w:sz="4" w:space="0" w:color="000000"/>
              <w:bottom w:val="single" w:sz="4" w:space="0" w:color="000000"/>
              <w:right w:val="nil"/>
            </w:tcBorders>
          </w:tcPr>
          <w:p w14:paraId="21E861A2" w14:textId="77777777" w:rsidR="00D727BC" w:rsidRPr="00E0354C" w:rsidRDefault="00D727BC" w:rsidP="00835E50">
            <w:pPr>
              <w:spacing w:line="259" w:lineRule="auto"/>
              <w:ind w:left="108"/>
            </w:pPr>
            <w:r w:rsidRPr="00E0354C">
              <w:rPr>
                <w:sz w:val="22"/>
              </w:rPr>
              <w:t xml:space="preserve">UK Local Authorities (irrespective of credit rating) </w:t>
            </w:r>
          </w:p>
        </w:tc>
        <w:tc>
          <w:tcPr>
            <w:tcW w:w="954" w:type="dxa"/>
            <w:tcBorders>
              <w:top w:val="single" w:sz="4" w:space="0" w:color="000000"/>
              <w:left w:val="nil"/>
              <w:bottom w:val="single" w:sz="4" w:space="0" w:color="000000"/>
              <w:right w:val="single" w:sz="4" w:space="0" w:color="000000"/>
            </w:tcBorders>
          </w:tcPr>
          <w:p w14:paraId="6AF63B5F" w14:textId="77777777" w:rsidR="00D727BC" w:rsidRPr="00E0354C" w:rsidRDefault="00D727BC" w:rsidP="00835E50">
            <w:pPr>
              <w:spacing w:after="160" w:line="259" w:lineRule="auto"/>
            </w:pPr>
          </w:p>
        </w:tc>
        <w:tc>
          <w:tcPr>
            <w:tcW w:w="1233" w:type="dxa"/>
            <w:tcBorders>
              <w:top w:val="single" w:sz="4" w:space="0" w:color="000000"/>
              <w:left w:val="single" w:sz="4" w:space="0" w:color="000000"/>
              <w:bottom w:val="single" w:sz="4" w:space="0" w:color="000000"/>
              <w:right w:val="single" w:sz="4" w:space="0" w:color="000000"/>
            </w:tcBorders>
          </w:tcPr>
          <w:p w14:paraId="03509C35" w14:textId="77777777" w:rsidR="00D727BC" w:rsidRPr="00E0354C" w:rsidRDefault="00B96EF3" w:rsidP="00835E50">
            <w:pPr>
              <w:spacing w:line="259" w:lineRule="auto"/>
              <w:ind w:left="22"/>
              <w:jc w:val="center"/>
            </w:pPr>
            <w:r w:rsidRPr="00E0354C">
              <w:rPr>
                <w:sz w:val="22"/>
              </w:rPr>
              <w:t xml:space="preserve">£10m </w:t>
            </w:r>
          </w:p>
        </w:tc>
        <w:tc>
          <w:tcPr>
            <w:tcW w:w="1356" w:type="dxa"/>
            <w:tcBorders>
              <w:top w:val="single" w:sz="4" w:space="0" w:color="000000"/>
              <w:left w:val="single" w:sz="4" w:space="0" w:color="000000"/>
              <w:bottom w:val="single" w:sz="4" w:space="0" w:color="000000"/>
              <w:right w:val="single" w:sz="4" w:space="0" w:color="000000"/>
            </w:tcBorders>
          </w:tcPr>
          <w:p w14:paraId="468557EC" w14:textId="77777777" w:rsidR="00D727BC" w:rsidRPr="00E0354C" w:rsidRDefault="00B96EF3" w:rsidP="00835E50">
            <w:pPr>
              <w:spacing w:line="259" w:lineRule="auto"/>
              <w:ind w:left="168"/>
            </w:pPr>
            <w:r w:rsidRPr="00E0354C">
              <w:rPr>
                <w:sz w:val="22"/>
              </w:rPr>
              <w:t>10 years</w:t>
            </w:r>
          </w:p>
        </w:tc>
      </w:tr>
      <w:tr w:rsidR="006240D8" w:rsidRPr="00E0354C" w14:paraId="7046EF5B" w14:textId="77777777" w:rsidTr="00835E50">
        <w:trPr>
          <w:trHeight w:val="350"/>
        </w:trPr>
        <w:tc>
          <w:tcPr>
            <w:tcW w:w="5387" w:type="dxa"/>
            <w:tcBorders>
              <w:top w:val="single" w:sz="4" w:space="0" w:color="000000"/>
              <w:left w:val="single" w:sz="4" w:space="0" w:color="000000"/>
              <w:bottom w:val="single" w:sz="4" w:space="0" w:color="000000"/>
              <w:right w:val="nil"/>
            </w:tcBorders>
          </w:tcPr>
          <w:p w14:paraId="5E07CB34" w14:textId="77777777" w:rsidR="006240D8" w:rsidRPr="00E0354C" w:rsidRDefault="006240D8" w:rsidP="00835E50">
            <w:pPr>
              <w:spacing w:line="259" w:lineRule="auto"/>
              <w:ind w:left="108"/>
              <w:rPr>
                <w:sz w:val="22"/>
              </w:rPr>
            </w:pPr>
            <w:r w:rsidRPr="00E0354C">
              <w:rPr>
                <w:sz w:val="22"/>
              </w:rPr>
              <w:t>Call Account with Lancashire County Council</w:t>
            </w:r>
          </w:p>
        </w:tc>
        <w:tc>
          <w:tcPr>
            <w:tcW w:w="954" w:type="dxa"/>
            <w:tcBorders>
              <w:top w:val="single" w:sz="4" w:space="0" w:color="000000"/>
              <w:left w:val="nil"/>
              <w:bottom w:val="single" w:sz="4" w:space="0" w:color="000000"/>
              <w:right w:val="single" w:sz="4" w:space="0" w:color="000000"/>
            </w:tcBorders>
          </w:tcPr>
          <w:p w14:paraId="6C0B7303" w14:textId="77777777" w:rsidR="006240D8" w:rsidRPr="00E0354C" w:rsidRDefault="006240D8" w:rsidP="00835E50">
            <w:pPr>
              <w:spacing w:after="160" w:line="259" w:lineRule="auto"/>
            </w:pPr>
          </w:p>
        </w:tc>
        <w:tc>
          <w:tcPr>
            <w:tcW w:w="1233" w:type="dxa"/>
            <w:tcBorders>
              <w:top w:val="single" w:sz="4" w:space="0" w:color="000000"/>
              <w:left w:val="single" w:sz="4" w:space="0" w:color="000000"/>
              <w:bottom w:val="single" w:sz="4" w:space="0" w:color="000000"/>
              <w:right w:val="single" w:sz="4" w:space="0" w:color="000000"/>
            </w:tcBorders>
          </w:tcPr>
          <w:p w14:paraId="0E48343A" w14:textId="77777777" w:rsidR="006240D8" w:rsidRPr="00E0354C" w:rsidRDefault="006240D8" w:rsidP="00835E50">
            <w:pPr>
              <w:spacing w:line="259" w:lineRule="auto"/>
              <w:ind w:left="161"/>
              <w:rPr>
                <w:sz w:val="22"/>
              </w:rPr>
            </w:pPr>
            <w:r w:rsidRPr="00E0354C">
              <w:rPr>
                <w:sz w:val="22"/>
              </w:rPr>
              <w:t>unlimited</w:t>
            </w:r>
          </w:p>
        </w:tc>
        <w:tc>
          <w:tcPr>
            <w:tcW w:w="1356" w:type="dxa"/>
            <w:tcBorders>
              <w:top w:val="single" w:sz="4" w:space="0" w:color="000000"/>
              <w:left w:val="single" w:sz="4" w:space="0" w:color="000000"/>
              <w:bottom w:val="single" w:sz="4" w:space="0" w:color="000000"/>
              <w:right w:val="single" w:sz="4" w:space="0" w:color="000000"/>
            </w:tcBorders>
          </w:tcPr>
          <w:p w14:paraId="03084B8C" w14:textId="77777777" w:rsidR="006240D8" w:rsidRPr="00E0354C" w:rsidRDefault="006240D8" w:rsidP="00835E50">
            <w:pPr>
              <w:spacing w:line="259" w:lineRule="auto"/>
              <w:ind w:left="19"/>
              <w:jc w:val="center"/>
              <w:rPr>
                <w:sz w:val="22"/>
              </w:rPr>
            </w:pPr>
            <w:r w:rsidRPr="00E0354C">
              <w:rPr>
                <w:sz w:val="22"/>
              </w:rPr>
              <w:t>Next day</w:t>
            </w:r>
          </w:p>
        </w:tc>
      </w:tr>
      <w:tr w:rsidR="00D727BC" w:rsidRPr="00E0354C" w14:paraId="11587C64" w14:textId="77777777" w:rsidTr="00835E50">
        <w:trPr>
          <w:trHeight w:val="350"/>
        </w:trPr>
        <w:tc>
          <w:tcPr>
            <w:tcW w:w="5387" w:type="dxa"/>
            <w:tcBorders>
              <w:top w:val="single" w:sz="4" w:space="0" w:color="000000"/>
              <w:left w:val="single" w:sz="4" w:space="0" w:color="000000"/>
              <w:bottom w:val="single" w:sz="4" w:space="0" w:color="000000"/>
              <w:right w:val="nil"/>
            </w:tcBorders>
          </w:tcPr>
          <w:p w14:paraId="6C596A6C" w14:textId="77777777" w:rsidR="00D727BC" w:rsidRPr="00E0354C" w:rsidRDefault="00D727BC" w:rsidP="00835E50">
            <w:pPr>
              <w:spacing w:line="259" w:lineRule="auto"/>
              <w:ind w:left="108"/>
            </w:pPr>
            <w:r w:rsidRPr="00E0354C">
              <w:rPr>
                <w:sz w:val="22"/>
              </w:rPr>
              <w:t>Secured Bond Funds AA rating and WAL not more than 3 y</w:t>
            </w:r>
            <w:r w:rsidR="00047E6D" w:rsidRPr="00E0354C">
              <w:rPr>
                <w:sz w:val="22"/>
              </w:rPr>
              <w:t>ea</w:t>
            </w:r>
            <w:r w:rsidRPr="00E0354C">
              <w:rPr>
                <w:sz w:val="22"/>
              </w:rPr>
              <w:t xml:space="preserve">rs </w:t>
            </w:r>
          </w:p>
        </w:tc>
        <w:tc>
          <w:tcPr>
            <w:tcW w:w="954" w:type="dxa"/>
            <w:tcBorders>
              <w:top w:val="single" w:sz="4" w:space="0" w:color="000000"/>
              <w:left w:val="nil"/>
              <w:bottom w:val="single" w:sz="4" w:space="0" w:color="000000"/>
              <w:right w:val="single" w:sz="4" w:space="0" w:color="000000"/>
            </w:tcBorders>
          </w:tcPr>
          <w:p w14:paraId="3D54A573" w14:textId="77777777" w:rsidR="00D727BC" w:rsidRPr="00E0354C" w:rsidRDefault="00D727BC" w:rsidP="00835E50">
            <w:pPr>
              <w:spacing w:after="160" w:line="259" w:lineRule="auto"/>
            </w:pPr>
          </w:p>
        </w:tc>
        <w:tc>
          <w:tcPr>
            <w:tcW w:w="1233" w:type="dxa"/>
            <w:tcBorders>
              <w:top w:val="single" w:sz="4" w:space="0" w:color="000000"/>
              <w:left w:val="single" w:sz="4" w:space="0" w:color="000000"/>
              <w:bottom w:val="single" w:sz="4" w:space="0" w:color="000000"/>
              <w:right w:val="single" w:sz="4" w:space="0" w:color="000000"/>
            </w:tcBorders>
          </w:tcPr>
          <w:p w14:paraId="735BFC20" w14:textId="77777777" w:rsidR="00D727BC" w:rsidRPr="00E0354C" w:rsidRDefault="00D727BC" w:rsidP="00835E50">
            <w:pPr>
              <w:spacing w:line="259" w:lineRule="auto"/>
              <w:ind w:left="161"/>
            </w:pPr>
            <w:r w:rsidRPr="00E0354C">
              <w:rPr>
                <w:sz w:val="22"/>
              </w:rPr>
              <w:t xml:space="preserve">£5m each </w:t>
            </w:r>
          </w:p>
        </w:tc>
        <w:tc>
          <w:tcPr>
            <w:tcW w:w="1356" w:type="dxa"/>
            <w:tcBorders>
              <w:top w:val="single" w:sz="4" w:space="0" w:color="000000"/>
              <w:left w:val="single" w:sz="4" w:space="0" w:color="000000"/>
              <w:bottom w:val="single" w:sz="4" w:space="0" w:color="000000"/>
              <w:right w:val="single" w:sz="4" w:space="0" w:color="000000"/>
            </w:tcBorders>
          </w:tcPr>
          <w:p w14:paraId="2AE43F2D" w14:textId="77777777" w:rsidR="00D727BC" w:rsidRPr="00E0354C" w:rsidRDefault="00D727BC" w:rsidP="00835E50">
            <w:pPr>
              <w:spacing w:line="259" w:lineRule="auto"/>
              <w:ind w:left="19"/>
              <w:jc w:val="center"/>
            </w:pPr>
            <w:r w:rsidRPr="00E0354C">
              <w:rPr>
                <w:sz w:val="22"/>
              </w:rPr>
              <w:t xml:space="preserve">n/a </w:t>
            </w:r>
          </w:p>
        </w:tc>
      </w:tr>
      <w:tr w:rsidR="00D727BC" w:rsidRPr="00E0354C" w14:paraId="57C16EF2" w14:textId="77777777" w:rsidTr="00835E50">
        <w:trPr>
          <w:trHeight w:val="350"/>
        </w:trPr>
        <w:tc>
          <w:tcPr>
            <w:tcW w:w="5387" w:type="dxa"/>
            <w:tcBorders>
              <w:top w:val="single" w:sz="4" w:space="0" w:color="000000"/>
              <w:left w:val="single" w:sz="4" w:space="0" w:color="000000"/>
              <w:bottom w:val="single" w:sz="4" w:space="0" w:color="000000"/>
              <w:right w:val="nil"/>
            </w:tcBorders>
          </w:tcPr>
          <w:p w14:paraId="0AA8B00B" w14:textId="77777777" w:rsidR="00D727BC" w:rsidRPr="00E0354C" w:rsidRDefault="00D727BC" w:rsidP="00835E50">
            <w:pPr>
              <w:spacing w:line="259" w:lineRule="auto"/>
              <w:ind w:left="108"/>
              <w:rPr>
                <w:sz w:val="22"/>
              </w:rPr>
            </w:pPr>
            <w:r w:rsidRPr="00E0354C">
              <w:rPr>
                <w:sz w:val="22"/>
              </w:rPr>
              <w:lastRenderedPageBreak/>
              <w:t>Secured Bond Funds AAA rated and WAL not more than 5 y</w:t>
            </w:r>
            <w:r w:rsidR="00047E6D" w:rsidRPr="00E0354C">
              <w:rPr>
                <w:sz w:val="22"/>
              </w:rPr>
              <w:t>ea</w:t>
            </w:r>
            <w:r w:rsidRPr="00E0354C">
              <w:rPr>
                <w:sz w:val="22"/>
              </w:rPr>
              <w:t>rs</w:t>
            </w:r>
          </w:p>
        </w:tc>
        <w:tc>
          <w:tcPr>
            <w:tcW w:w="954" w:type="dxa"/>
            <w:tcBorders>
              <w:top w:val="single" w:sz="4" w:space="0" w:color="000000"/>
              <w:left w:val="nil"/>
              <w:bottom w:val="single" w:sz="4" w:space="0" w:color="000000"/>
              <w:right w:val="single" w:sz="4" w:space="0" w:color="000000"/>
            </w:tcBorders>
          </w:tcPr>
          <w:p w14:paraId="047653D1" w14:textId="77777777" w:rsidR="00D727BC" w:rsidRPr="00E0354C" w:rsidRDefault="00D727BC" w:rsidP="00835E50">
            <w:pPr>
              <w:spacing w:after="160" w:line="259" w:lineRule="auto"/>
            </w:pPr>
          </w:p>
        </w:tc>
        <w:tc>
          <w:tcPr>
            <w:tcW w:w="1233" w:type="dxa"/>
            <w:tcBorders>
              <w:top w:val="single" w:sz="4" w:space="0" w:color="000000"/>
              <w:left w:val="single" w:sz="4" w:space="0" w:color="000000"/>
              <w:bottom w:val="single" w:sz="4" w:space="0" w:color="000000"/>
              <w:right w:val="single" w:sz="4" w:space="0" w:color="000000"/>
            </w:tcBorders>
          </w:tcPr>
          <w:p w14:paraId="4A7A26C8" w14:textId="77777777" w:rsidR="00D727BC" w:rsidRPr="00E0354C" w:rsidRDefault="00D727BC" w:rsidP="00835E50">
            <w:pPr>
              <w:spacing w:line="259" w:lineRule="auto"/>
              <w:ind w:left="161"/>
              <w:rPr>
                <w:sz w:val="22"/>
              </w:rPr>
            </w:pPr>
            <w:r w:rsidRPr="00E0354C">
              <w:rPr>
                <w:sz w:val="22"/>
              </w:rPr>
              <w:t>£5m each</w:t>
            </w:r>
          </w:p>
        </w:tc>
        <w:tc>
          <w:tcPr>
            <w:tcW w:w="1356" w:type="dxa"/>
            <w:tcBorders>
              <w:top w:val="single" w:sz="4" w:space="0" w:color="000000"/>
              <w:left w:val="single" w:sz="4" w:space="0" w:color="000000"/>
              <w:bottom w:val="single" w:sz="4" w:space="0" w:color="000000"/>
              <w:right w:val="single" w:sz="4" w:space="0" w:color="000000"/>
            </w:tcBorders>
          </w:tcPr>
          <w:p w14:paraId="4B2EA6CA" w14:textId="77777777" w:rsidR="00D727BC" w:rsidRPr="00E0354C" w:rsidRDefault="00D727BC" w:rsidP="00835E50">
            <w:pPr>
              <w:spacing w:line="259" w:lineRule="auto"/>
              <w:ind w:left="19"/>
              <w:jc w:val="center"/>
              <w:rPr>
                <w:sz w:val="22"/>
              </w:rPr>
            </w:pPr>
            <w:r w:rsidRPr="00E0354C">
              <w:rPr>
                <w:sz w:val="22"/>
              </w:rPr>
              <w:t>n/a</w:t>
            </w:r>
          </w:p>
        </w:tc>
      </w:tr>
    </w:tbl>
    <w:p w14:paraId="32CA1268" w14:textId="77777777" w:rsidR="00D727BC" w:rsidRPr="00E0354C" w:rsidRDefault="00D727BC" w:rsidP="00D727BC">
      <w:pPr>
        <w:spacing w:after="3" w:line="259" w:lineRule="auto"/>
        <w:ind w:left="749"/>
        <w:rPr>
          <w:i/>
          <w:sz w:val="20"/>
        </w:rPr>
      </w:pPr>
      <w:r w:rsidRPr="00E0354C">
        <w:rPr>
          <w:i/>
          <w:sz w:val="20"/>
        </w:rPr>
        <w:t xml:space="preserve">*  but no longer than 2 years in fixed-term deposits and other illiquid instruments </w:t>
      </w:r>
    </w:p>
    <w:p w14:paraId="0D30E71E" w14:textId="77777777" w:rsidR="00D727BC" w:rsidRPr="00E0354C" w:rsidRDefault="00D727BC" w:rsidP="00D727BC">
      <w:pPr>
        <w:spacing w:after="3" w:line="259" w:lineRule="auto"/>
        <w:ind w:left="749"/>
        <w:rPr>
          <w:i/>
          <w:sz w:val="20"/>
        </w:rPr>
      </w:pPr>
      <w:r w:rsidRPr="00E0354C">
        <w:rPr>
          <w:i/>
          <w:sz w:val="20"/>
        </w:rPr>
        <w:t>** but no longer than 5 years in fixed-term deposits and other illiquid instruments</w:t>
      </w:r>
      <w:r w:rsidRPr="00E0354C">
        <w:rPr>
          <w:b/>
          <w:i/>
          <w:sz w:val="20"/>
        </w:rPr>
        <w:t xml:space="preserve"> </w:t>
      </w:r>
    </w:p>
    <w:p w14:paraId="281F1A61" w14:textId="77777777" w:rsidR="00D727BC" w:rsidRPr="00E0354C" w:rsidRDefault="00D727BC" w:rsidP="00D727BC">
      <w:pPr>
        <w:spacing w:line="259" w:lineRule="auto"/>
        <w:ind w:left="34"/>
        <w:rPr>
          <w:b/>
        </w:rPr>
      </w:pPr>
    </w:p>
    <w:p w14:paraId="4C43C2B8" w14:textId="77777777" w:rsidR="00EC3A95" w:rsidRPr="00E0354C" w:rsidRDefault="00EC3A95" w:rsidP="00EC3A95">
      <w:pPr>
        <w:rPr>
          <w:i/>
        </w:rPr>
      </w:pPr>
    </w:p>
    <w:p w14:paraId="5E91F19F" w14:textId="77777777" w:rsidR="00D727BC" w:rsidRPr="00E0354C" w:rsidRDefault="00D727BC" w:rsidP="00D727BC">
      <w:pPr>
        <w:spacing w:line="259" w:lineRule="auto"/>
        <w:ind w:left="34"/>
      </w:pPr>
    </w:p>
    <w:p w14:paraId="1FEF465E" w14:textId="77777777" w:rsidR="00D727BC" w:rsidRPr="00E0354C" w:rsidRDefault="00D727BC" w:rsidP="00D727BC">
      <w:pPr>
        <w:ind w:left="29" w:right="53"/>
      </w:pPr>
      <w:r w:rsidRPr="00E0354C">
        <w:t>Whilst the investment strategy allow</w:t>
      </w:r>
      <w:r w:rsidR="00E40FD7" w:rsidRPr="00E0354C">
        <w:t>s</w:t>
      </w:r>
      <w:r w:rsidRPr="00E0354C">
        <w:t xml:space="preserve">  flexibility with investments any decision as to whether to utilise this facility will be made based on an assessment of risk and reward undertaken jointly between the </w:t>
      </w:r>
      <w:r w:rsidR="00A60D41" w:rsidRPr="00E0354C">
        <w:t>Chief Finance Officer</w:t>
      </w:r>
      <w:r w:rsidRPr="00E0354C">
        <w:t xml:space="preserve"> and LCC Treasury Management Team, and consideration of this forms part of the on-going meetings that take place throughout the year. </w:t>
      </w:r>
    </w:p>
    <w:p w14:paraId="396B4350" w14:textId="77777777" w:rsidR="00D727BC" w:rsidRPr="00E0354C" w:rsidRDefault="00D727BC" w:rsidP="00D727BC">
      <w:pPr>
        <w:spacing w:line="259" w:lineRule="auto"/>
        <w:ind w:left="34"/>
      </w:pPr>
      <w:r w:rsidRPr="00E0354C">
        <w:t xml:space="preserve"> </w:t>
      </w:r>
    </w:p>
    <w:p w14:paraId="141B315C" w14:textId="44BD08C2" w:rsidR="00D727BC" w:rsidRPr="00E0354C" w:rsidRDefault="00D727BC">
      <w:pPr>
        <w:ind w:left="29" w:right="53"/>
      </w:pPr>
      <w:r w:rsidRPr="00E0354C">
        <w:t xml:space="preserve">The </w:t>
      </w:r>
      <w:r w:rsidR="00792EE9" w:rsidRPr="00E0354C">
        <w:t>Commissioner</w:t>
      </w:r>
      <w:r w:rsidRPr="00E0354C">
        <w:t xml:space="preserve"> may lend or invest money using any of the following instruments: </w:t>
      </w:r>
    </w:p>
    <w:p w14:paraId="724155E2" w14:textId="77777777" w:rsidR="00D727BC" w:rsidRPr="00E0354C" w:rsidRDefault="00D727BC" w:rsidP="00D727BC">
      <w:pPr>
        <w:spacing w:after="8" w:line="259" w:lineRule="auto"/>
        <w:ind w:left="34"/>
      </w:pPr>
      <w:r w:rsidRPr="00E0354C">
        <w:t xml:space="preserve"> </w:t>
      </w:r>
    </w:p>
    <w:p w14:paraId="4F88B989" w14:textId="77777777" w:rsidR="00D727BC" w:rsidRPr="00E0354C" w:rsidRDefault="00D727BC" w:rsidP="00D727BC">
      <w:pPr>
        <w:numPr>
          <w:ilvl w:val="0"/>
          <w:numId w:val="34"/>
        </w:numPr>
        <w:spacing w:after="5" w:line="249" w:lineRule="auto"/>
        <w:ind w:right="53" w:hanging="360"/>
        <w:jc w:val="both"/>
      </w:pPr>
      <w:r w:rsidRPr="00E0354C">
        <w:t xml:space="preserve">interest-bearing bank accounts, </w:t>
      </w:r>
    </w:p>
    <w:p w14:paraId="4B428F1E" w14:textId="77777777" w:rsidR="00D727BC" w:rsidRPr="00E0354C" w:rsidRDefault="00D727BC" w:rsidP="00D727BC">
      <w:pPr>
        <w:numPr>
          <w:ilvl w:val="0"/>
          <w:numId w:val="34"/>
        </w:numPr>
        <w:spacing w:after="5" w:line="249" w:lineRule="auto"/>
        <w:ind w:right="53" w:hanging="360"/>
        <w:jc w:val="both"/>
      </w:pPr>
      <w:r w:rsidRPr="00E0354C">
        <w:t xml:space="preserve">fixed term deposits and loans, </w:t>
      </w:r>
    </w:p>
    <w:p w14:paraId="53793D47" w14:textId="77777777" w:rsidR="00D727BC" w:rsidRPr="00E0354C" w:rsidRDefault="00D727BC" w:rsidP="00D727BC">
      <w:pPr>
        <w:numPr>
          <w:ilvl w:val="0"/>
          <w:numId w:val="34"/>
        </w:numPr>
        <w:spacing w:after="5" w:line="249" w:lineRule="auto"/>
        <w:ind w:right="53" w:hanging="360"/>
        <w:jc w:val="both"/>
      </w:pPr>
      <w:r w:rsidRPr="00E0354C">
        <w:t xml:space="preserve">callable deposits where the </w:t>
      </w:r>
      <w:r w:rsidR="00792EE9" w:rsidRPr="00E0354C">
        <w:t>Commissioner</w:t>
      </w:r>
      <w:r w:rsidRPr="00E0354C">
        <w:t xml:space="preserve"> may demand repayment at any time (with or without notice), </w:t>
      </w:r>
    </w:p>
    <w:p w14:paraId="6D309C4A" w14:textId="77777777" w:rsidR="00D727BC" w:rsidRPr="00E0354C" w:rsidRDefault="00D727BC" w:rsidP="00D727BC">
      <w:pPr>
        <w:numPr>
          <w:ilvl w:val="0"/>
          <w:numId w:val="34"/>
        </w:numPr>
        <w:spacing w:after="5" w:line="249" w:lineRule="auto"/>
        <w:ind w:right="53" w:hanging="360"/>
        <w:jc w:val="both"/>
      </w:pPr>
      <w:r w:rsidRPr="00E0354C">
        <w:t xml:space="preserve">certificates of deposit, </w:t>
      </w:r>
    </w:p>
    <w:p w14:paraId="7CE8B85E" w14:textId="77777777" w:rsidR="00D727BC" w:rsidRPr="00E0354C" w:rsidRDefault="00D727BC" w:rsidP="00D727BC">
      <w:pPr>
        <w:numPr>
          <w:ilvl w:val="0"/>
          <w:numId w:val="34"/>
        </w:numPr>
        <w:spacing w:after="5" w:line="249" w:lineRule="auto"/>
        <w:ind w:right="53" w:hanging="360"/>
        <w:jc w:val="both"/>
      </w:pPr>
      <w:r w:rsidRPr="00E0354C">
        <w:t xml:space="preserve">bonds, notes, bills, commercial </w:t>
      </w:r>
      <w:proofErr w:type="gramStart"/>
      <w:r w:rsidRPr="00E0354C">
        <w:t>paper</w:t>
      </w:r>
      <w:proofErr w:type="gramEnd"/>
      <w:r w:rsidRPr="00E0354C">
        <w:t xml:space="preserve"> and other marketable instruments, and </w:t>
      </w:r>
    </w:p>
    <w:p w14:paraId="06F5E729" w14:textId="77777777" w:rsidR="00D727BC" w:rsidRPr="00E0354C" w:rsidRDefault="00741505" w:rsidP="00D727BC">
      <w:pPr>
        <w:numPr>
          <w:ilvl w:val="0"/>
          <w:numId w:val="34"/>
        </w:numPr>
        <w:spacing w:after="5" w:line="249" w:lineRule="auto"/>
        <w:ind w:right="53" w:hanging="360"/>
        <w:jc w:val="both"/>
      </w:pPr>
      <w:r w:rsidRPr="00E0354C">
        <w:t>shares in bond funds</w:t>
      </w:r>
    </w:p>
    <w:p w14:paraId="22B1D0DC" w14:textId="77777777" w:rsidR="00D727BC" w:rsidRPr="00E0354C" w:rsidRDefault="00D727BC" w:rsidP="00D727BC">
      <w:pPr>
        <w:spacing w:line="259" w:lineRule="auto"/>
        <w:ind w:left="754"/>
      </w:pPr>
      <w:r w:rsidRPr="00E0354C">
        <w:t xml:space="preserve"> </w:t>
      </w:r>
    </w:p>
    <w:p w14:paraId="1AA64DE8" w14:textId="2305E627" w:rsidR="00D727BC" w:rsidRPr="00E0354C" w:rsidRDefault="00D727BC" w:rsidP="00D727BC">
      <w:pPr>
        <w:ind w:left="29" w:right="53"/>
      </w:pPr>
      <w:r w:rsidRPr="00E0354C">
        <w:t>Investments may be made at either a fixed rate of interest, or at a variable rate linked to a market interest rate, such as</w:t>
      </w:r>
      <w:r w:rsidR="00AE6210">
        <w:t xml:space="preserve"> </w:t>
      </w:r>
      <w:r w:rsidR="006B5941">
        <w:t>SONIA</w:t>
      </w:r>
      <w:r w:rsidRPr="00E0354C">
        <w:t xml:space="preserve">, subject to the limits on interest rate exposures below. </w:t>
      </w:r>
    </w:p>
    <w:p w14:paraId="790789C8" w14:textId="77777777" w:rsidR="00D727BC" w:rsidRPr="00E0354C" w:rsidRDefault="00D727BC" w:rsidP="00D727BC">
      <w:pPr>
        <w:spacing w:line="259" w:lineRule="auto"/>
        <w:ind w:left="34"/>
      </w:pPr>
      <w:r w:rsidRPr="00E0354C">
        <w:t xml:space="preserve"> </w:t>
      </w:r>
    </w:p>
    <w:p w14:paraId="313DA8F4" w14:textId="6EDF3970" w:rsidR="00115EE2" w:rsidRPr="00E0354C" w:rsidRDefault="00792EE9" w:rsidP="00A31EF9">
      <w:pPr>
        <w:ind w:left="29" w:right="53"/>
        <w:rPr>
          <w:rFonts w:cs="Arial"/>
          <w:szCs w:val="24"/>
        </w:rPr>
      </w:pPr>
      <w:r w:rsidRPr="00E0354C">
        <w:t xml:space="preserve">On behalf of the Commissioner the county council's treasury management section </w:t>
      </w:r>
      <w:r w:rsidR="00D727BC" w:rsidRPr="00E0354C">
        <w:t xml:space="preserve">prepares daily cash flow forecasts to determine the maximum period for which funds may prudently be committed.  The forecast is compiled on a pessimistic basis, with receipts under-estimated and payments over-estimated to minimise the risk of being forced to borrow on unfavourable terms to meet its financial commitments. Limits on long-term investments are set by reference to the </w:t>
      </w:r>
      <w:r w:rsidRPr="00E0354C">
        <w:t>Commissioner</w:t>
      </w:r>
      <w:r w:rsidR="00D727BC" w:rsidRPr="00E0354C">
        <w:t xml:space="preserve">’s </w:t>
      </w:r>
      <w:r w:rsidR="00AE6210" w:rsidRPr="00E0354C">
        <w:t>medium-term</w:t>
      </w:r>
      <w:r w:rsidR="00D727BC" w:rsidRPr="00E0354C">
        <w:t xml:space="preserve"> financial plan and cash flow forecast.</w:t>
      </w:r>
    </w:p>
    <w:p w14:paraId="258776AD" w14:textId="77777777" w:rsidR="00A85791" w:rsidRPr="00E0354C" w:rsidRDefault="00A85791" w:rsidP="00A85791">
      <w:pPr>
        <w:tabs>
          <w:tab w:val="left" w:pos="0"/>
        </w:tabs>
        <w:jc w:val="both"/>
        <w:rPr>
          <w:rFonts w:cs="Arial"/>
          <w:szCs w:val="24"/>
        </w:rPr>
      </w:pPr>
    </w:p>
    <w:p w14:paraId="58E0A31D" w14:textId="40CD33CD" w:rsidR="00115EE2" w:rsidRPr="00EE7172" w:rsidRDefault="00115EE2" w:rsidP="00115EE2">
      <w:pPr>
        <w:spacing w:after="240"/>
        <w:jc w:val="both"/>
        <w:rPr>
          <w:rFonts w:cs="Arial"/>
          <w:szCs w:val="24"/>
        </w:rPr>
      </w:pPr>
      <w:r w:rsidRPr="00E0354C">
        <w:rPr>
          <w:rFonts w:cs="Arial"/>
          <w:szCs w:val="24"/>
        </w:rPr>
        <w:t xml:space="preserve">The performance target on investments will remain as being above the average rate for </w:t>
      </w:r>
      <w:r w:rsidR="00AE6210" w:rsidRPr="00E0354C">
        <w:rPr>
          <w:rFonts w:cs="Arial"/>
          <w:szCs w:val="24"/>
        </w:rPr>
        <w:t>7-day</w:t>
      </w:r>
      <w:r w:rsidRPr="00E0354C">
        <w:rPr>
          <w:rFonts w:cs="Arial"/>
          <w:szCs w:val="24"/>
        </w:rPr>
        <w:t xml:space="preserve"> </w:t>
      </w:r>
      <w:r w:rsidRPr="00EE7172">
        <w:rPr>
          <w:rFonts w:cs="Arial"/>
          <w:szCs w:val="24"/>
        </w:rPr>
        <w:t xml:space="preserve">notice money. </w:t>
      </w:r>
    </w:p>
    <w:p w14:paraId="3CDE6853" w14:textId="77777777" w:rsidR="00544E97" w:rsidRPr="00105E93" w:rsidRDefault="00544E97" w:rsidP="00544E97">
      <w:pPr>
        <w:spacing w:line="259" w:lineRule="auto"/>
        <w:ind w:left="34"/>
        <w:jc w:val="both"/>
        <w:rPr>
          <w:rFonts w:eastAsia="Arial" w:cs="Arial"/>
          <w:b/>
          <w:color w:val="000000"/>
          <w:szCs w:val="22"/>
        </w:rPr>
      </w:pPr>
      <w:r w:rsidRPr="00105E93">
        <w:rPr>
          <w:rFonts w:eastAsia="Arial" w:cs="Arial"/>
          <w:b/>
          <w:color w:val="000000"/>
          <w:szCs w:val="22"/>
        </w:rPr>
        <w:t>Revenue Budget</w:t>
      </w:r>
    </w:p>
    <w:p w14:paraId="3B551B5C" w14:textId="77777777" w:rsidR="00544E97" w:rsidRPr="00105E93" w:rsidRDefault="00544E97" w:rsidP="00544E97">
      <w:pPr>
        <w:spacing w:line="259" w:lineRule="auto"/>
        <w:ind w:left="34"/>
        <w:jc w:val="both"/>
        <w:rPr>
          <w:rFonts w:eastAsia="Arial" w:cs="Arial"/>
          <w:color w:val="000000"/>
          <w:szCs w:val="22"/>
        </w:rPr>
      </w:pPr>
    </w:p>
    <w:p w14:paraId="4B075EC7" w14:textId="77777777" w:rsidR="00544E97" w:rsidRPr="00105E93" w:rsidRDefault="00544E97" w:rsidP="00544E97">
      <w:pPr>
        <w:spacing w:line="259" w:lineRule="auto"/>
        <w:ind w:left="34"/>
        <w:jc w:val="both"/>
        <w:rPr>
          <w:rFonts w:eastAsia="Arial" w:cs="Arial"/>
          <w:color w:val="000000"/>
          <w:szCs w:val="22"/>
        </w:rPr>
      </w:pPr>
      <w:r w:rsidRPr="00105E93">
        <w:rPr>
          <w:rFonts w:eastAsia="Arial" w:cs="Arial"/>
          <w:color w:val="000000"/>
          <w:szCs w:val="22"/>
        </w:rPr>
        <w:t>Based on the Strategy outlined above then the proposed budget for capital financing are:</w:t>
      </w:r>
    </w:p>
    <w:p w14:paraId="74CBE7A2" w14:textId="77777777" w:rsidR="00544E97" w:rsidRPr="00105E93" w:rsidRDefault="00544E97" w:rsidP="00544E97">
      <w:pPr>
        <w:spacing w:line="259" w:lineRule="auto"/>
        <w:ind w:left="34"/>
        <w:jc w:val="both"/>
        <w:rPr>
          <w:rFonts w:eastAsia="Arial" w:cs="Arial"/>
          <w:color w:val="000000"/>
          <w:szCs w:val="22"/>
        </w:rPr>
      </w:pPr>
    </w:p>
    <w:tbl>
      <w:tblPr>
        <w:tblStyle w:val="TableGrid3"/>
        <w:tblW w:w="0" w:type="auto"/>
        <w:tblInd w:w="34" w:type="dxa"/>
        <w:tblLook w:val="04A0" w:firstRow="1" w:lastRow="0" w:firstColumn="1" w:lastColumn="0" w:noHBand="0" w:noVBand="1"/>
      </w:tblPr>
      <w:tblGrid>
        <w:gridCol w:w="1944"/>
        <w:gridCol w:w="1944"/>
        <w:gridCol w:w="1944"/>
        <w:gridCol w:w="1945"/>
        <w:gridCol w:w="1945"/>
      </w:tblGrid>
      <w:tr w:rsidR="00544E97" w:rsidRPr="00EE7172" w14:paraId="75047143" w14:textId="77777777" w:rsidTr="00BC1F1A">
        <w:tc>
          <w:tcPr>
            <w:tcW w:w="1944" w:type="dxa"/>
          </w:tcPr>
          <w:p w14:paraId="4D822EE8" w14:textId="77777777" w:rsidR="00544E97" w:rsidRPr="00105E93" w:rsidRDefault="00544E97" w:rsidP="00544E97">
            <w:pPr>
              <w:spacing w:line="259" w:lineRule="auto"/>
              <w:jc w:val="both"/>
              <w:rPr>
                <w:rFonts w:eastAsia="Arial" w:cs="Arial"/>
                <w:color w:val="000000"/>
              </w:rPr>
            </w:pPr>
          </w:p>
        </w:tc>
        <w:tc>
          <w:tcPr>
            <w:tcW w:w="1944" w:type="dxa"/>
          </w:tcPr>
          <w:p w14:paraId="164E5A44" w14:textId="28F3F468" w:rsidR="00544E97" w:rsidRPr="00105E93" w:rsidRDefault="00CF6045" w:rsidP="00CF6045">
            <w:pPr>
              <w:spacing w:line="259" w:lineRule="auto"/>
              <w:jc w:val="right"/>
              <w:rPr>
                <w:rFonts w:eastAsia="Arial" w:cs="Arial"/>
                <w:color w:val="000000"/>
              </w:rPr>
            </w:pPr>
            <w:r w:rsidRPr="00105E93">
              <w:rPr>
                <w:rFonts w:eastAsia="Arial" w:cs="Arial"/>
                <w:color w:val="000000"/>
              </w:rPr>
              <w:t>2021</w:t>
            </w:r>
            <w:r w:rsidR="00D36D4D" w:rsidRPr="00105E93">
              <w:rPr>
                <w:rFonts w:eastAsia="Arial" w:cs="Arial"/>
                <w:color w:val="000000"/>
              </w:rPr>
              <w:t>/</w:t>
            </w:r>
            <w:r w:rsidRPr="00105E93">
              <w:rPr>
                <w:rFonts w:eastAsia="Arial" w:cs="Arial"/>
                <w:color w:val="000000"/>
              </w:rPr>
              <w:t>22</w:t>
            </w:r>
          </w:p>
        </w:tc>
        <w:tc>
          <w:tcPr>
            <w:tcW w:w="1944" w:type="dxa"/>
          </w:tcPr>
          <w:p w14:paraId="56E9B054" w14:textId="39405815" w:rsidR="00544E97" w:rsidRPr="00105E93" w:rsidRDefault="00CF6045" w:rsidP="00CF6045">
            <w:pPr>
              <w:spacing w:line="259" w:lineRule="auto"/>
              <w:jc w:val="right"/>
              <w:rPr>
                <w:rFonts w:eastAsia="Arial" w:cs="Arial"/>
                <w:color w:val="000000"/>
              </w:rPr>
            </w:pPr>
            <w:r w:rsidRPr="00105E93">
              <w:rPr>
                <w:rFonts w:eastAsia="Arial" w:cs="Arial"/>
                <w:color w:val="000000"/>
              </w:rPr>
              <w:t>2022</w:t>
            </w:r>
            <w:r w:rsidR="00544E97" w:rsidRPr="00105E93">
              <w:rPr>
                <w:rFonts w:eastAsia="Arial" w:cs="Arial"/>
                <w:color w:val="000000"/>
              </w:rPr>
              <w:t>/</w:t>
            </w:r>
            <w:r w:rsidRPr="00105E93">
              <w:rPr>
                <w:rFonts w:eastAsia="Arial" w:cs="Arial"/>
                <w:color w:val="000000"/>
              </w:rPr>
              <w:t>23</w:t>
            </w:r>
          </w:p>
        </w:tc>
        <w:tc>
          <w:tcPr>
            <w:tcW w:w="1945" w:type="dxa"/>
          </w:tcPr>
          <w:p w14:paraId="5E1E673F" w14:textId="12BFBEB3" w:rsidR="00544E97" w:rsidRPr="00105E93" w:rsidRDefault="00CF6045" w:rsidP="00CF6045">
            <w:pPr>
              <w:spacing w:line="259" w:lineRule="auto"/>
              <w:jc w:val="right"/>
              <w:rPr>
                <w:rFonts w:eastAsia="Arial" w:cs="Arial"/>
                <w:color w:val="000000"/>
              </w:rPr>
            </w:pPr>
            <w:r w:rsidRPr="00105E93">
              <w:rPr>
                <w:rFonts w:eastAsia="Arial" w:cs="Arial"/>
                <w:color w:val="000000"/>
              </w:rPr>
              <w:t>2023</w:t>
            </w:r>
            <w:r w:rsidR="00544E97" w:rsidRPr="00105E93">
              <w:rPr>
                <w:rFonts w:eastAsia="Arial" w:cs="Arial"/>
                <w:color w:val="000000"/>
              </w:rPr>
              <w:t>/</w:t>
            </w:r>
            <w:r w:rsidRPr="00105E93">
              <w:rPr>
                <w:rFonts w:eastAsia="Arial" w:cs="Arial"/>
                <w:color w:val="000000"/>
              </w:rPr>
              <w:t>24</w:t>
            </w:r>
          </w:p>
        </w:tc>
        <w:tc>
          <w:tcPr>
            <w:tcW w:w="1945" w:type="dxa"/>
          </w:tcPr>
          <w:p w14:paraId="4F6BC8D5" w14:textId="42D4E839" w:rsidR="00544E97" w:rsidRPr="00105E93" w:rsidRDefault="00CF6045" w:rsidP="00CF6045">
            <w:pPr>
              <w:spacing w:line="259" w:lineRule="auto"/>
              <w:jc w:val="right"/>
              <w:rPr>
                <w:rFonts w:eastAsia="Arial" w:cs="Arial"/>
                <w:color w:val="000000"/>
              </w:rPr>
            </w:pPr>
            <w:r w:rsidRPr="00105E93">
              <w:rPr>
                <w:rFonts w:eastAsia="Arial" w:cs="Arial"/>
                <w:color w:val="000000"/>
              </w:rPr>
              <w:t>2024</w:t>
            </w:r>
            <w:r w:rsidR="00544E97" w:rsidRPr="00105E93">
              <w:rPr>
                <w:rFonts w:eastAsia="Arial" w:cs="Arial"/>
                <w:color w:val="000000"/>
              </w:rPr>
              <w:t>/</w:t>
            </w:r>
            <w:r w:rsidRPr="00105E93">
              <w:rPr>
                <w:rFonts w:eastAsia="Arial" w:cs="Arial"/>
                <w:color w:val="000000"/>
              </w:rPr>
              <w:t>25</w:t>
            </w:r>
          </w:p>
        </w:tc>
      </w:tr>
      <w:tr w:rsidR="00544E97" w:rsidRPr="00EE7172" w14:paraId="067A9AEE" w14:textId="77777777" w:rsidTr="00BC1F1A">
        <w:tc>
          <w:tcPr>
            <w:tcW w:w="1944" w:type="dxa"/>
          </w:tcPr>
          <w:p w14:paraId="467A0808" w14:textId="77777777" w:rsidR="00544E97" w:rsidRPr="00105E93" w:rsidRDefault="00544E97" w:rsidP="00544E97">
            <w:pPr>
              <w:spacing w:line="259" w:lineRule="auto"/>
              <w:jc w:val="both"/>
              <w:rPr>
                <w:rFonts w:eastAsia="Arial" w:cs="Arial"/>
                <w:color w:val="000000"/>
              </w:rPr>
            </w:pPr>
          </w:p>
        </w:tc>
        <w:tc>
          <w:tcPr>
            <w:tcW w:w="1944" w:type="dxa"/>
          </w:tcPr>
          <w:p w14:paraId="5292FBF0" w14:textId="77777777" w:rsidR="00544E97" w:rsidRPr="00105E93" w:rsidRDefault="00544E97" w:rsidP="00544E97">
            <w:pPr>
              <w:spacing w:line="259" w:lineRule="auto"/>
              <w:jc w:val="right"/>
              <w:rPr>
                <w:rFonts w:eastAsia="Arial" w:cs="Arial"/>
                <w:color w:val="000000"/>
              </w:rPr>
            </w:pPr>
            <w:r w:rsidRPr="00105E93">
              <w:rPr>
                <w:rFonts w:eastAsia="Arial" w:cs="Arial"/>
                <w:color w:val="000000"/>
              </w:rPr>
              <w:t>£m</w:t>
            </w:r>
          </w:p>
        </w:tc>
        <w:tc>
          <w:tcPr>
            <w:tcW w:w="1944" w:type="dxa"/>
          </w:tcPr>
          <w:p w14:paraId="6BD808A4" w14:textId="77777777" w:rsidR="00544E97" w:rsidRPr="00105E93" w:rsidRDefault="00544E97" w:rsidP="00544E97">
            <w:pPr>
              <w:spacing w:line="259" w:lineRule="auto"/>
              <w:jc w:val="right"/>
              <w:rPr>
                <w:rFonts w:eastAsia="Arial" w:cs="Arial"/>
                <w:color w:val="000000"/>
              </w:rPr>
            </w:pPr>
            <w:r w:rsidRPr="00105E93">
              <w:rPr>
                <w:rFonts w:eastAsia="Arial" w:cs="Arial"/>
                <w:color w:val="000000"/>
              </w:rPr>
              <w:t>£m</w:t>
            </w:r>
          </w:p>
        </w:tc>
        <w:tc>
          <w:tcPr>
            <w:tcW w:w="1945" w:type="dxa"/>
          </w:tcPr>
          <w:p w14:paraId="59D06F57" w14:textId="77777777" w:rsidR="00544E97" w:rsidRPr="00105E93" w:rsidRDefault="00544E97" w:rsidP="00544E97">
            <w:pPr>
              <w:spacing w:line="259" w:lineRule="auto"/>
              <w:jc w:val="right"/>
              <w:rPr>
                <w:rFonts w:eastAsia="Arial" w:cs="Arial"/>
                <w:color w:val="000000"/>
              </w:rPr>
            </w:pPr>
            <w:r w:rsidRPr="00105E93">
              <w:rPr>
                <w:rFonts w:eastAsia="Arial" w:cs="Arial"/>
                <w:color w:val="000000"/>
              </w:rPr>
              <w:t>£m</w:t>
            </w:r>
          </w:p>
        </w:tc>
        <w:tc>
          <w:tcPr>
            <w:tcW w:w="1945" w:type="dxa"/>
          </w:tcPr>
          <w:p w14:paraId="2C4C4EDF" w14:textId="77777777" w:rsidR="00544E97" w:rsidRPr="00105E93" w:rsidRDefault="00544E97" w:rsidP="00544E97">
            <w:pPr>
              <w:spacing w:line="259" w:lineRule="auto"/>
              <w:jc w:val="right"/>
              <w:rPr>
                <w:rFonts w:eastAsia="Arial" w:cs="Arial"/>
                <w:color w:val="000000"/>
              </w:rPr>
            </w:pPr>
            <w:r w:rsidRPr="00105E93">
              <w:rPr>
                <w:rFonts w:eastAsia="Arial" w:cs="Arial"/>
                <w:color w:val="000000"/>
              </w:rPr>
              <w:t>£m</w:t>
            </w:r>
          </w:p>
        </w:tc>
      </w:tr>
      <w:tr w:rsidR="00EE7172" w:rsidRPr="00EE7172" w14:paraId="11F407C4" w14:textId="77777777" w:rsidTr="00BC1F1A">
        <w:tc>
          <w:tcPr>
            <w:tcW w:w="1944" w:type="dxa"/>
          </w:tcPr>
          <w:p w14:paraId="28964EBD" w14:textId="77777777" w:rsidR="00EE7172" w:rsidRPr="00105E93" w:rsidRDefault="00EE7172" w:rsidP="00EE7172">
            <w:pPr>
              <w:spacing w:line="259" w:lineRule="auto"/>
              <w:jc w:val="both"/>
              <w:rPr>
                <w:rFonts w:eastAsia="Arial" w:cs="Arial"/>
                <w:color w:val="000000"/>
              </w:rPr>
            </w:pPr>
            <w:r w:rsidRPr="00105E93">
              <w:rPr>
                <w:rFonts w:eastAsia="Arial" w:cs="Arial"/>
                <w:color w:val="000000"/>
              </w:rPr>
              <w:t>MRP</w:t>
            </w:r>
          </w:p>
        </w:tc>
        <w:tc>
          <w:tcPr>
            <w:tcW w:w="1944" w:type="dxa"/>
          </w:tcPr>
          <w:p w14:paraId="29577DEE" w14:textId="40E2E92C" w:rsidR="00EE7172" w:rsidRPr="00105E93" w:rsidRDefault="00EE7172" w:rsidP="00EE7172">
            <w:pPr>
              <w:spacing w:line="259" w:lineRule="auto"/>
              <w:jc w:val="right"/>
              <w:rPr>
                <w:rFonts w:eastAsia="Arial" w:cs="Arial"/>
                <w:color w:val="000000"/>
              </w:rPr>
            </w:pPr>
            <w:r w:rsidRPr="00EE7172">
              <w:rPr>
                <w:color w:val="000000"/>
              </w:rPr>
              <w:t>1.406</w:t>
            </w:r>
          </w:p>
        </w:tc>
        <w:tc>
          <w:tcPr>
            <w:tcW w:w="1944" w:type="dxa"/>
          </w:tcPr>
          <w:p w14:paraId="1C86E210" w14:textId="5C182476" w:rsidR="00EE7172" w:rsidRPr="00105E93" w:rsidRDefault="00EE7172" w:rsidP="00EE7172">
            <w:pPr>
              <w:spacing w:line="259" w:lineRule="auto"/>
              <w:jc w:val="right"/>
              <w:rPr>
                <w:rFonts w:eastAsia="Arial" w:cs="Arial"/>
                <w:color w:val="000000"/>
              </w:rPr>
            </w:pPr>
            <w:r w:rsidRPr="00EE7172">
              <w:rPr>
                <w:color w:val="000000"/>
              </w:rPr>
              <w:t>2.071</w:t>
            </w:r>
          </w:p>
        </w:tc>
        <w:tc>
          <w:tcPr>
            <w:tcW w:w="1945" w:type="dxa"/>
          </w:tcPr>
          <w:p w14:paraId="7D9B480A" w14:textId="253BADCB" w:rsidR="00EE7172" w:rsidRPr="00105E93" w:rsidRDefault="00EE7172" w:rsidP="00EE7172">
            <w:pPr>
              <w:spacing w:line="259" w:lineRule="auto"/>
              <w:jc w:val="right"/>
              <w:rPr>
                <w:rFonts w:eastAsia="Arial" w:cs="Arial"/>
                <w:color w:val="000000"/>
              </w:rPr>
            </w:pPr>
            <w:r w:rsidRPr="00EE7172">
              <w:rPr>
                <w:color w:val="000000"/>
              </w:rPr>
              <w:t>3.346</w:t>
            </w:r>
          </w:p>
        </w:tc>
        <w:tc>
          <w:tcPr>
            <w:tcW w:w="1945" w:type="dxa"/>
          </w:tcPr>
          <w:p w14:paraId="4927ABBB" w14:textId="7D86FFF0" w:rsidR="00EE7172" w:rsidRPr="00105E93" w:rsidRDefault="00EE7172" w:rsidP="00EE7172">
            <w:pPr>
              <w:spacing w:line="259" w:lineRule="auto"/>
              <w:jc w:val="right"/>
              <w:rPr>
                <w:rFonts w:eastAsia="Arial" w:cs="Arial"/>
                <w:color w:val="000000"/>
              </w:rPr>
            </w:pPr>
            <w:r w:rsidRPr="00EE7172">
              <w:rPr>
                <w:color w:val="000000"/>
              </w:rPr>
              <w:t>4.209</w:t>
            </w:r>
          </w:p>
        </w:tc>
      </w:tr>
      <w:tr w:rsidR="00EE7172" w:rsidRPr="00EE7172" w14:paraId="023FDC1F" w14:textId="77777777" w:rsidTr="00BC1F1A">
        <w:tc>
          <w:tcPr>
            <w:tcW w:w="1944" w:type="dxa"/>
          </w:tcPr>
          <w:p w14:paraId="59DAB415" w14:textId="77777777" w:rsidR="00EE7172" w:rsidRPr="00105E93" w:rsidRDefault="00EE7172" w:rsidP="00EE7172">
            <w:pPr>
              <w:spacing w:line="259" w:lineRule="auto"/>
              <w:jc w:val="both"/>
              <w:rPr>
                <w:rFonts w:eastAsia="Arial" w:cs="Arial"/>
                <w:color w:val="000000"/>
              </w:rPr>
            </w:pPr>
            <w:r w:rsidRPr="00105E93">
              <w:rPr>
                <w:rFonts w:eastAsia="Arial" w:cs="Arial"/>
                <w:color w:val="000000"/>
              </w:rPr>
              <w:t>Interest payable</w:t>
            </w:r>
          </w:p>
        </w:tc>
        <w:tc>
          <w:tcPr>
            <w:tcW w:w="1944" w:type="dxa"/>
          </w:tcPr>
          <w:p w14:paraId="363B6737" w14:textId="3F15870F" w:rsidR="00EE7172" w:rsidRPr="00105E93" w:rsidRDefault="00EE7172" w:rsidP="00EE7172">
            <w:pPr>
              <w:spacing w:line="259" w:lineRule="auto"/>
              <w:jc w:val="right"/>
              <w:rPr>
                <w:rFonts w:eastAsia="Arial" w:cs="Arial"/>
                <w:color w:val="000000"/>
              </w:rPr>
            </w:pPr>
            <w:r w:rsidRPr="00EE7172">
              <w:rPr>
                <w:color w:val="000000"/>
              </w:rPr>
              <w:t>1.684</w:t>
            </w:r>
          </w:p>
        </w:tc>
        <w:tc>
          <w:tcPr>
            <w:tcW w:w="1944" w:type="dxa"/>
          </w:tcPr>
          <w:p w14:paraId="1FF37DCD" w14:textId="37EB2171" w:rsidR="00EE7172" w:rsidRPr="00105E93" w:rsidRDefault="00EE7172" w:rsidP="00EE7172">
            <w:pPr>
              <w:spacing w:line="259" w:lineRule="auto"/>
              <w:jc w:val="right"/>
              <w:rPr>
                <w:rFonts w:eastAsia="Arial" w:cs="Arial"/>
                <w:color w:val="000000"/>
              </w:rPr>
            </w:pPr>
            <w:r w:rsidRPr="00EE7172">
              <w:rPr>
                <w:color w:val="000000"/>
              </w:rPr>
              <w:t>2.700</w:t>
            </w:r>
          </w:p>
        </w:tc>
        <w:tc>
          <w:tcPr>
            <w:tcW w:w="1945" w:type="dxa"/>
          </w:tcPr>
          <w:p w14:paraId="5B2DECA0" w14:textId="526EC178" w:rsidR="00EE7172" w:rsidRPr="00105E93" w:rsidRDefault="00EE7172" w:rsidP="00EE7172">
            <w:pPr>
              <w:spacing w:line="259" w:lineRule="auto"/>
              <w:jc w:val="right"/>
              <w:rPr>
                <w:rFonts w:eastAsia="Arial" w:cs="Arial"/>
                <w:color w:val="000000"/>
              </w:rPr>
            </w:pPr>
            <w:r w:rsidRPr="00EE7172">
              <w:rPr>
                <w:color w:val="000000"/>
              </w:rPr>
              <w:t>3.100</w:t>
            </w:r>
          </w:p>
        </w:tc>
        <w:tc>
          <w:tcPr>
            <w:tcW w:w="1945" w:type="dxa"/>
          </w:tcPr>
          <w:p w14:paraId="0BDB9716" w14:textId="7E00F520" w:rsidR="00EE7172" w:rsidRPr="00105E93" w:rsidRDefault="00EE7172" w:rsidP="00EE7172">
            <w:pPr>
              <w:spacing w:line="259" w:lineRule="auto"/>
              <w:jc w:val="right"/>
              <w:rPr>
                <w:rFonts w:eastAsia="Arial" w:cs="Arial"/>
                <w:color w:val="000000"/>
              </w:rPr>
            </w:pPr>
            <w:r w:rsidRPr="00EE7172">
              <w:rPr>
                <w:color w:val="000000"/>
              </w:rPr>
              <w:t>3.300</w:t>
            </w:r>
          </w:p>
        </w:tc>
      </w:tr>
      <w:tr w:rsidR="00EE7172" w:rsidRPr="00EE7172" w14:paraId="6E358F9C" w14:textId="77777777" w:rsidTr="00BC1F1A">
        <w:tc>
          <w:tcPr>
            <w:tcW w:w="1944" w:type="dxa"/>
          </w:tcPr>
          <w:p w14:paraId="66EC3C6B" w14:textId="77777777" w:rsidR="00EE7172" w:rsidRPr="00105E93" w:rsidRDefault="00EE7172" w:rsidP="00EE7172">
            <w:pPr>
              <w:spacing w:line="259" w:lineRule="auto"/>
              <w:jc w:val="both"/>
              <w:rPr>
                <w:rFonts w:eastAsia="Arial" w:cs="Arial"/>
                <w:color w:val="000000"/>
              </w:rPr>
            </w:pPr>
            <w:r w:rsidRPr="00105E93">
              <w:rPr>
                <w:rFonts w:eastAsia="Arial" w:cs="Arial"/>
                <w:color w:val="000000"/>
              </w:rPr>
              <w:t>Interest receivable</w:t>
            </w:r>
          </w:p>
        </w:tc>
        <w:tc>
          <w:tcPr>
            <w:tcW w:w="1944" w:type="dxa"/>
          </w:tcPr>
          <w:p w14:paraId="0FD6C6B1" w14:textId="05C8D958" w:rsidR="00EE7172" w:rsidRPr="00105E93" w:rsidRDefault="00EE7172" w:rsidP="00EE7172">
            <w:pPr>
              <w:spacing w:line="259" w:lineRule="auto"/>
              <w:jc w:val="right"/>
              <w:rPr>
                <w:rFonts w:eastAsia="Arial" w:cs="Arial"/>
                <w:color w:val="000000"/>
              </w:rPr>
            </w:pPr>
            <w:r w:rsidRPr="00EE7172">
              <w:rPr>
                <w:color w:val="000000"/>
              </w:rPr>
              <w:t>-0.257</w:t>
            </w:r>
          </w:p>
        </w:tc>
        <w:tc>
          <w:tcPr>
            <w:tcW w:w="1944" w:type="dxa"/>
          </w:tcPr>
          <w:p w14:paraId="3D913B69" w14:textId="0546BD3E" w:rsidR="00EE7172" w:rsidRPr="00105E93" w:rsidRDefault="00EE7172" w:rsidP="00EE7172">
            <w:pPr>
              <w:spacing w:line="259" w:lineRule="auto"/>
              <w:jc w:val="right"/>
              <w:rPr>
                <w:rFonts w:eastAsia="Arial" w:cs="Arial"/>
                <w:color w:val="000000"/>
              </w:rPr>
            </w:pPr>
            <w:r w:rsidRPr="00EE7172">
              <w:rPr>
                <w:color w:val="000000"/>
              </w:rPr>
              <w:t>-0.200</w:t>
            </w:r>
          </w:p>
        </w:tc>
        <w:tc>
          <w:tcPr>
            <w:tcW w:w="1945" w:type="dxa"/>
          </w:tcPr>
          <w:p w14:paraId="07A0ED16" w14:textId="05D6B6D0" w:rsidR="00EE7172" w:rsidRPr="00105E93" w:rsidRDefault="00EE7172" w:rsidP="00EE7172">
            <w:pPr>
              <w:spacing w:line="259" w:lineRule="auto"/>
              <w:jc w:val="right"/>
              <w:rPr>
                <w:rFonts w:eastAsia="Arial" w:cs="Arial"/>
                <w:color w:val="000000"/>
              </w:rPr>
            </w:pPr>
            <w:r w:rsidRPr="00EE7172">
              <w:rPr>
                <w:color w:val="000000"/>
              </w:rPr>
              <w:t>-0.200</w:t>
            </w:r>
          </w:p>
        </w:tc>
        <w:tc>
          <w:tcPr>
            <w:tcW w:w="1945" w:type="dxa"/>
          </w:tcPr>
          <w:p w14:paraId="43B41279" w14:textId="19300163" w:rsidR="00EE7172" w:rsidRPr="00105E93" w:rsidRDefault="00EE7172" w:rsidP="00EE7172">
            <w:pPr>
              <w:spacing w:line="259" w:lineRule="auto"/>
              <w:jc w:val="right"/>
              <w:rPr>
                <w:rFonts w:eastAsia="Arial" w:cs="Arial"/>
                <w:color w:val="000000"/>
              </w:rPr>
            </w:pPr>
            <w:r w:rsidRPr="00EE7172">
              <w:rPr>
                <w:color w:val="000000"/>
              </w:rPr>
              <w:t>-0.200</w:t>
            </w:r>
          </w:p>
        </w:tc>
      </w:tr>
      <w:tr w:rsidR="00EE7172" w:rsidRPr="00EE7172" w14:paraId="05645BF0" w14:textId="77777777" w:rsidTr="00BC1F1A">
        <w:tc>
          <w:tcPr>
            <w:tcW w:w="1944" w:type="dxa"/>
          </w:tcPr>
          <w:p w14:paraId="2C09DB0D" w14:textId="77777777" w:rsidR="00EE7172" w:rsidRPr="00105E93" w:rsidRDefault="00EE7172" w:rsidP="00EE7172">
            <w:pPr>
              <w:spacing w:line="259" w:lineRule="auto"/>
              <w:jc w:val="both"/>
              <w:rPr>
                <w:rFonts w:eastAsia="Arial" w:cs="Arial"/>
                <w:color w:val="000000"/>
              </w:rPr>
            </w:pPr>
            <w:r w:rsidRPr="00105E93">
              <w:rPr>
                <w:rFonts w:eastAsia="Arial" w:cs="Arial"/>
                <w:color w:val="000000"/>
              </w:rPr>
              <w:t>Net budget</w:t>
            </w:r>
          </w:p>
        </w:tc>
        <w:tc>
          <w:tcPr>
            <w:tcW w:w="1944" w:type="dxa"/>
          </w:tcPr>
          <w:p w14:paraId="11254144" w14:textId="7A6FA000" w:rsidR="00EE7172" w:rsidRPr="00105E93" w:rsidRDefault="00EE7172">
            <w:pPr>
              <w:spacing w:line="259" w:lineRule="auto"/>
              <w:jc w:val="right"/>
              <w:rPr>
                <w:rFonts w:eastAsia="Arial" w:cs="Arial"/>
                <w:color w:val="000000"/>
              </w:rPr>
            </w:pPr>
            <w:r w:rsidRPr="00EE7172">
              <w:rPr>
                <w:color w:val="000000"/>
              </w:rPr>
              <w:t>2.8</w:t>
            </w:r>
            <w:r w:rsidR="003C4FD9">
              <w:rPr>
                <w:color w:val="000000"/>
              </w:rPr>
              <w:t>33</w:t>
            </w:r>
          </w:p>
        </w:tc>
        <w:tc>
          <w:tcPr>
            <w:tcW w:w="1944" w:type="dxa"/>
          </w:tcPr>
          <w:p w14:paraId="5D458DE1" w14:textId="02BC9963" w:rsidR="00EE7172" w:rsidRPr="00105E93" w:rsidRDefault="00EE7172" w:rsidP="00EE7172">
            <w:pPr>
              <w:spacing w:line="259" w:lineRule="auto"/>
              <w:jc w:val="right"/>
              <w:rPr>
                <w:rFonts w:eastAsia="Arial" w:cs="Arial"/>
                <w:color w:val="000000"/>
              </w:rPr>
            </w:pPr>
            <w:r w:rsidRPr="00EE7172">
              <w:rPr>
                <w:color w:val="000000"/>
              </w:rPr>
              <w:t>4.571</w:t>
            </w:r>
          </w:p>
        </w:tc>
        <w:tc>
          <w:tcPr>
            <w:tcW w:w="1945" w:type="dxa"/>
          </w:tcPr>
          <w:p w14:paraId="5060CD76" w14:textId="1855288F" w:rsidR="00EE7172" w:rsidRPr="00105E93" w:rsidRDefault="00EE7172" w:rsidP="00EE7172">
            <w:pPr>
              <w:spacing w:line="259" w:lineRule="auto"/>
              <w:jc w:val="right"/>
              <w:rPr>
                <w:rFonts w:eastAsia="Arial" w:cs="Arial"/>
                <w:color w:val="000000"/>
              </w:rPr>
            </w:pPr>
            <w:r w:rsidRPr="00EE7172">
              <w:rPr>
                <w:color w:val="000000"/>
              </w:rPr>
              <w:t>6.246</w:t>
            </w:r>
          </w:p>
        </w:tc>
        <w:tc>
          <w:tcPr>
            <w:tcW w:w="1945" w:type="dxa"/>
          </w:tcPr>
          <w:p w14:paraId="2CB70C6C" w14:textId="1601B545" w:rsidR="00EE7172" w:rsidRPr="00105E93" w:rsidRDefault="00EE7172" w:rsidP="00EE7172">
            <w:pPr>
              <w:spacing w:line="259" w:lineRule="auto"/>
              <w:jc w:val="right"/>
              <w:rPr>
                <w:rFonts w:eastAsia="Arial" w:cs="Arial"/>
                <w:color w:val="000000"/>
              </w:rPr>
            </w:pPr>
            <w:r w:rsidRPr="00EE7172">
              <w:rPr>
                <w:color w:val="000000"/>
              </w:rPr>
              <w:t>7.309</w:t>
            </w:r>
          </w:p>
        </w:tc>
      </w:tr>
    </w:tbl>
    <w:p w14:paraId="7627AB59" w14:textId="77777777" w:rsidR="00115EE2" w:rsidRPr="00105E93" w:rsidRDefault="00115EE2" w:rsidP="00115EE2">
      <w:pPr>
        <w:rPr>
          <w:rFonts w:cs="Arial"/>
        </w:rPr>
      </w:pPr>
    </w:p>
    <w:p w14:paraId="219FB9AB" w14:textId="77777777" w:rsidR="00A24EE2" w:rsidRDefault="00A24EE2">
      <w:pPr>
        <w:rPr>
          <w:rFonts w:cs="Arial"/>
          <w:b/>
          <w:szCs w:val="24"/>
        </w:rPr>
      </w:pPr>
      <w:r>
        <w:rPr>
          <w:rFonts w:cs="Arial"/>
          <w:b/>
          <w:szCs w:val="24"/>
        </w:rPr>
        <w:br w:type="page"/>
      </w:r>
    </w:p>
    <w:p w14:paraId="6AE57921" w14:textId="7E8DD134" w:rsidR="00115EE2" w:rsidRPr="00CF6045" w:rsidRDefault="00115EE2" w:rsidP="00115EE2">
      <w:pPr>
        <w:spacing w:after="240"/>
        <w:rPr>
          <w:rFonts w:cs="Arial"/>
          <w:b/>
          <w:szCs w:val="24"/>
        </w:rPr>
      </w:pPr>
      <w:r w:rsidRPr="00CF6045">
        <w:rPr>
          <w:rFonts w:cs="Arial"/>
          <w:b/>
          <w:szCs w:val="24"/>
        </w:rPr>
        <w:lastRenderedPageBreak/>
        <w:t xml:space="preserve">Prudential Indicators for </w:t>
      </w:r>
      <w:r w:rsidR="00CF6045" w:rsidRPr="00CF6045">
        <w:rPr>
          <w:rFonts w:cs="Arial"/>
          <w:b/>
          <w:szCs w:val="24"/>
        </w:rPr>
        <w:t>202</w:t>
      </w:r>
      <w:r w:rsidR="00CF6045">
        <w:rPr>
          <w:rFonts w:cs="Arial"/>
          <w:b/>
          <w:szCs w:val="24"/>
        </w:rPr>
        <w:t>1</w:t>
      </w:r>
      <w:r w:rsidR="00D36D4D" w:rsidRPr="00CF6045">
        <w:rPr>
          <w:rFonts w:cs="Arial"/>
          <w:b/>
          <w:szCs w:val="24"/>
        </w:rPr>
        <w:t>/</w:t>
      </w:r>
      <w:r w:rsidR="00CF6045" w:rsidRPr="00CF6045">
        <w:rPr>
          <w:rFonts w:cs="Arial"/>
          <w:b/>
          <w:szCs w:val="24"/>
        </w:rPr>
        <w:t>2</w:t>
      </w:r>
      <w:r w:rsidR="00CF6045">
        <w:rPr>
          <w:rFonts w:cs="Arial"/>
          <w:b/>
          <w:szCs w:val="24"/>
        </w:rPr>
        <w:t>2</w:t>
      </w:r>
      <w:r w:rsidR="00CF6045" w:rsidRPr="00CF6045">
        <w:rPr>
          <w:rFonts w:cs="Arial"/>
          <w:b/>
          <w:szCs w:val="24"/>
        </w:rPr>
        <w:t xml:space="preserve"> </w:t>
      </w:r>
      <w:r w:rsidRPr="00CF6045">
        <w:rPr>
          <w:rFonts w:cs="Arial"/>
          <w:b/>
          <w:szCs w:val="24"/>
        </w:rPr>
        <w:t>to 20</w:t>
      </w:r>
      <w:r w:rsidR="00B50024" w:rsidRPr="00CF6045">
        <w:rPr>
          <w:rFonts w:cs="Arial"/>
          <w:b/>
          <w:szCs w:val="24"/>
        </w:rPr>
        <w:t>2</w:t>
      </w:r>
      <w:r w:rsidR="00CF6045">
        <w:rPr>
          <w:rFonts w:cs="Arial"/>
          <w:b/>
          <w:szCs w:val="24"/>
        </w:rPr>
        <w:t>3</w:t>
      </w:r>
      <w:r w:rsidRPr="00CF6045">
        <w:rPr>
          <w:rFonts w:cs="Arial"/>
          <w:b/>
          <w:szCs w:val="24"/>
        </w:rPr>
        <w:t>/</w:t>
      </w:r>
      <w:r w:rsidR="0077353D" w:rsidRPr="00CF6045">
        <w:rPr>
          <w:rFonts w:cs="Arial"/>
          <w:b/>
          <w:szCs w:val="24"/>
        </w:rPr>
        <w:t>2</w:t>
      </w:r>
      <w:r w:rsidR="0077353D">
        <w:rPr>
          <w:rFonts w:cs="Arial"/>
          <w:b/>
          <w:szCs w:val="24"/>
        </w:rPr>
        <w:t>4</w:t>
      </w:r>
      <w:r w:rsidR="0077353D" w:rsidRPr="00CF6045">
        <w:rPr>
          <w:rFonts w:cs="Arial"/>
          <w:b/>
          <w:szCs w:val="24"/>
        </w:rPr>
        <w:t xml:space="preserve"> </w:t>
      </w:r>
      <w:r w:rsidRPr="00CF6045">
        <w:rPr>
          <w:rFonts w:cs="Arial"/>
          <w:b/>
          <w:szCs w:val="24"/>
        </w:rPr>
        <w:t>in respect of the Police and Crime Commissioner's Treasury Management Activities.</w:t>
      </w:r>
    </w:p>
    <w:p w14:paraId="0064D450" w14:textId="77777777" w:rsidR="00115EE2" w:rsidRPr="00CF6045" w:rsidRDefault="00115EE2" w:rsidP="00115EE2">
      <w:pPr>
        <w:spacing w:after="240"/>
        <w:jc w:val="both"/>
        <w:rPr>
          <w:rFonts w:cs="Arial"/>
          <w:szCs w:val="24"/>
        </w:rPr>
      </w:pPr>
      <w:r w:rsidRPr="00CF6045">
        <w:rPr>
          <w:rFonts w:cs="Arial"/>
          <w:szCs w:val="24"/>
        </w:rPr>
        <w:t>In accordance with its statutory duty and with the requirements of the Prudential Code for Capital Finance and the CIPFA Code for Treasury Management, every local authority produces each year a set of prudential indicators which regulate and control its treasury management activities.</w:t>
      </w:r>
    </w:p>
    <w:p w14:paraId="3731B523" w14:textId="47F31DC8" w:rsidR="00115EE2" w:rsidRPr="00CF6045" w:rsidRDefault="00115EE2" w:rsidP="00115EE2">
      <w:pPr>
        <w:spacing w:after="240"/>
        <w:jc w:val="both"/>
        <w:rPr>
          <w:rFonts w:cs="Arial"/>
          <w:szCs w:val="24"/>
        </w:rPr>
      </w:pPr>
      <w:r w:rsidRPr="00CF6045">
        <w:rPr>
          <w:rFonts w:cs="Arial"/>
          <w:szCs w:val="24"/>
        </w:rPr>
        <w:t xml:space="preserve">The following table sets out the debt and investment-related indicators which provide the framework for the Commissioner’s proposed borrowing and lending activities over the coming three years. </w:t>
      </w:r>
    </w:p>
    <w:p w14:paraId="05EA166F" w14:textId="66F04E3B" w:rsidR="001700A8" w:rsidRDefault="001700A8" w:rsidP="00115EE2">
      <w:pPr>
        <w:spacing w:after="240"/>
      </w:pPr>
    </w:p>
    <w:tbl>
      <w:tblPr>
        <w:tblW w:w="10665" w:type="dxa"/>
        <w:tblInd w:w="534" w:type="dxa"/>
        <w:tblLayout w:type="fixed"/>
        <w:tblLook w:val="0000" w:firstRow="0" w:lastRow="0" w:firstColumn="0" w:lastColumn="0" w:noHBand="0" w:noVBand="0"/>
      </w:tblPr>
      <w:tblGrid>
        <w:gridCol w:w="33"/>
        <w:gridCol w:w="4820"/>
        <w:gridCol w:w="108"/>
        <w:gridCol w:w="1146"/>
        <w:gridCol w:w="992"/>
        <w:gridCol w:w="22"/>
        <w:gridCol w:w="970"/>
        <w:gridCol w:w="1014"/>
        <w:gridCol w:w="1560"/>
      </w:tblGrid>
      <w:tr w:rsidR="00115EE2" w:rsidRPr="00CF6045" w14:paraId="3BEA2839" w14:textId="77777777" w:rsidTr="00BF4886">
        <w:trPr>
          <w:gridAfter w:val="1"/>
          <w:wAfter w:w="1560" w:type="dxa"/>
        </w:trPr>
        <w:tc>
          <w:tcPr>
            <w:tcW w:w="4961" w:type="dxa"/>
            <w:gridSpan w:val="3"/>
          </w:tcPr>
          <w:p w14:paraId="354E8CBD" w14:textId="77777777" w:rsidR="00115EE2" w:rsidRPr="00CF6045" w:rsidRDefault="00115EE2" w:rsidP="00115EE2">
            <w:pPr>
              <w:pStyle w:val="Heading1"/>
              <w:rPr>
                <w:sz w:val="20"/>
              </w:rPr>
            </w:pPr>
            <w:r w:rsidRPr="00CF6045">
              <w:rPr>
                <w:sz w:val="20"/>
              </w:rPr>
              <w:t>Prudential Indicators</w:t>
            </w:r>
          </w:p>
        </w:tc>
        <w:tc>
          <w:tcPr>
            <w:tcW w:w="1146" w:type="dxa"/>
          </w:tcPr>
          <w:p w14:paraId="2179FB17" w14:textId="67292853" w:rsidR="00115EE2" w:rsidRPr="0077353D" w:rsidRDefault="0077353D" w:rsidP="0077353D">
            <w:pPr>
              <w:jc w:val="center"/>
              <w:rPr>
                <w:b/>
                <w:sz w:val="20"/>
              </w:rPr>
            </w:pPr>
            <w:r w:rsidRPr="00CF6045">
              <w:rPr>
                <w:b/>
                <w:caps/>
                <w:sz w:val="20"/>
              </w:rPr>
              <w:t>20</w:t>
            </w:r>
            <w:r>
              <w:rPr>
                <w:b/>
                <w:caps/>
                <w:sz w:val="20"/>
              </w:rPr>
              <w:t>20</w:t>
            </w:r>
            <w:r w:rsidR="00D36D4D" w:rsidRPr="0077353D">
              <w:rPr>
                <w:b/>
                <w:caps/>
                <w:sz w:val="20"/>
              </w:rPr>
              <w:t>/</w:t>
            </w:r>
            <w:r w:rsidRPr="0077353D">
              <w:rPr>
                <w:b/>
                <w:caps/>
                <w:sz w:val="20"/>
              </w:rPr>
              <w:t>2</w:t>
            </w:r>
            <w:r>
              <w:rPr>
                <w:b/>
                <w:caps/>
                <w:sz w:val="20"/>
              </w:rPr>
              <w:t>1</w:t>
            </w:r>
            <w:r w:rsidR="00A24EE2">
              <w:rPr>
                <w:b/>
                <w:caps/>
                <w:sz w:val="20"/>
              </w:rPr>
              <w:t xml:space="preserve"> </w:t>
            </w:r>
            <w:r w:rsidR="00115EE2" w:rsidRPr="0077353D">
              <w:rPr>
                <w:b/>
                <w:caps/>
                <w:sz w:val="20"/>
              </w:rPr>
              <w:t>(</w:t>
            </w:r>
            <w:r w:rsidR="00115EE2" w:rsidRPr="0077353D">
              <w:rPr>
                <w:b/>
                <w:sz w:val="20"/>
              </w:rPr>
              <w:t>Revised</w:t>
            </w:r>
            <w:r w:rsidR="00115EE2" w:rsidRPr="0077353D">
              <w:rPr>
                <w:b/>
                <w:caps/>
                <w:sz w:val="20"/>
              </w:rPr>
              <w:t>)</w:t>
            </w:r>
          </w:p>
        </w:tc>
        <w:tc>
          <w:tcPr>
            <w:tcW w:w="992" w:type="dxa"/>
            <w:vAlign w:val="center"/>
          </w:tcPr>
          <w:p w14:paraId="5FA25F52" w14:textId="15543999" w:rsidR="00115EE2" w:rsidRPr="0077353D" w:rsidRDefault="00D36D4D" w:rsidP="0077353D">
            <w:pPr>
              <w:jc w:val="center"/>
              <w:rPr>
                <w:b/>
                <w:sz w:val="20"/>
              </w:rPr>
            </w:pPr>
            <w:r w:rsidRPr="0077353D">
              <w:rPr>
                <w:b/>
                <w:sz w:val="20"/>
              </w:rPr>
              <w:t>202</w:t>
            </w:r>
            <w:r w:rsidR="0077353D">
              <w:rPr>
                <w:b/>
                <w:sz w:val="20"/>
              </w:rPr>
              <w:t>1</w:t>
            </w:r>
            <w:r w:rsidRPr="0077353D">
              <w:rPr>
                <w:b/>
                <w:sz w:val="20"/>
              </w:rPr>
              <w:t>/</w:t>
            </w:r>
            <w:r w:rsidR="0077353D" w:rsidRPr="0077353D">
              <w:rPr>
                <w:b/>
                <w:sz w:val="20"/>
              </w:rPr>
              <w:t>2</w:t>
            </w:r>
            <w:r w:rsidR="0077353D">
              <w:rPr>
                <w:b/>
                <w:sz w:val="20"/>
              </w:rPr>
              <w:t>2</w:t>
            </w:r>
          </w:p>
        </w:tc>
        <w:tc>
          <w:tcPr>
            <w:tcW w:w="992" w:type="dxa"/>
            <w:gridSpan w:val="2"/>
            <w:vAlign w:val="center"/>
          </w:tcPr>
          <w:p w14:paraId="732FAEF1" w14:textId="3A89F3C1" w:rsidR="00115EE2" w:rsidRPr="0077353D" w:rsidRDefault="0077353D" w:rsidP="0077353D">
            <w:pPr>
              <w:jc w:val="center"/>
              <w:rPr>
                <w:b/>
                <w:sz w:val="20"/>
              </w:rPr>
            </w:pPr>
            <w:r w:rsidRPr="0077353D">
              <w:rPr>
                <w:b/>
                <w:sz w:val="20"/>
              </w:rPr>
              <w:t>202</w:t>
            </w:r>
            <w:r>
              <w:rPr>
                <w:b/>
                <w:sz w:val="20"/>
              </w:rPr>
              <w:t>2</w:t>
            </w:r>
            <w:r w:rsidR="00115EE2" w:rsidRPr="0077353D">
              <w:rPr>
                <w:b/>
                <w:sz w:val="20"/>
              </w:rPr>
              <w:t>/</w:t>
            </w:r>
            <w:r w:rsidRPr="0077353D">
              <w:rPr>
                <w:b/>
                <w:sz w:val="20"/>
              </w:rPr>
              <w:t>2</w:t>
            </w:r>
            <w:r>
              <w:rPr>
                <w:b/>
                <w:sz w:val="20"/>
              </w:rPr>
              <w:t>3</w:t>
            </w:r>
          </w:p>
        </w:tc>
        <w:tc>
          <w:tcPr>
            <w:tcW w:w="1014" w:type="dxa"/>
            <w:vAlign w:val="center"/>
          </w:tcPr>
          <w:p w14:paraId="075751CF" w14:textId="6DFDF981" w:rsidR="00115EE2" w:rsidRPr="0077353D" w:rsidRDefault="0077353D" w:rsidP="0077353D">
            <w:pPr>
              <w:jc w:val="center"/>
              <w:rPr>
                <w:b/>
                <w:sz w:val="20"/>
              </w:rPr>
            </w:pPr>
            <w:r w:rsidRPr="0077353D">
              <w:rPr>
                <w:b/>
                <w:sz w:val="20"/>
              </w:rPr>
              <w:t>202</w:t>
            </w:r>
            <w:r>
              <w:rPr>
                <w:b/>
                <w:sz w:val="20"/>
              </w:rPr>
              <w:t>3</w:t>
            </w:r>
            <w:r w:rsidR="00115EE2" w:rsidRPr="0077353D">
              <w:rPr>
                <w:b/>
                <w:sz w:val="20"/>
              </w:rPr>
              <w:t>/</w:t>
            </w:r>
            <w:r w:rsidRPr="0077353D">
              <w:rPr>
                <w:b/>
                <w:sz w:val="20"/>
              </w:rPr>
              <w:t>2</w:t>
            </w:r>
            <w:r>
              <w:rPr>
                <w:b/>
                <w:sz w:val="20"/>
              </w:rPr>
              <w:t>4</w:t>
            </w:r>
          </w:p>
        </w:tc>
      </w:tr>
      <w:tr w:rsidR="00115EE2" w:rsidRPr="00541497" w14:paraId="0BEFCB65" w14:textId="77777777" w:rsidTr="00BF4886">
        <w:trPr>
          <w:gridAfter w:val="1"/>
          <w:wAfter w:w="1560" w:type="dxa"/>
        </w:trPr>
        <w:tc>
          <w:tcPr>
            <w:tcW w:w="4961" w:type="dxa"/>
            <w:gridSpan w:val="3"/>
          </w:tcPr>
          <w:p w14:paraId="2115EB20" w14:textId="77777777" w:rsidR="00115EE2" w:rsidRPr="00CF6045" w:rsidRDefault="00115EE2" w:rsidP="00115EE2">
            <w:pPr>
              <w:spacing w:after="120"/>
              <w:rPr>
                <w:sz w:val="20"/>
              </w:rPr>
            </w:pPr>
          </w:p>
        </w:tc>
        <w:tc>
          <w:tcPr>
            <w:tcW w:w="1146" w:type="dxa"/>
          </w:tcPr>
          <w:p w14:paraId="60E9EAFD" w14:textId="77777777" w:rsidR="00115EE2" w:rsidRPr="00CF6045" w:rsidRDefault="00115EE2" w:rsidP="00115EE2">
            <w:pPr>
              <w:spacing w:after="120"/>
              <w:jc w:val="center"/>
              <w:rPr>
                <w:b/>
                <w:caps/>
                <w:sz w:val="20"/>
              </w:rPr>
            </w:pPr>
            <w:r w:rsidRPr="00CF6045">
              <w:rPr>
                <w:b/>
                <w:caps/>
                <w:sz w:val="20"/>
              </w:rPr>
              <w:t>£000</w:t>
            </w:r>
          </w:p>
        </w:tc>
        <w:tc>
          <w:tcPr>
            <w:tcW w:w="992" w:type="dxa"/>
          </w:tcPr>
          <w:p w14:paraId="08E8C6E0" w14:textId="77777777" w:rsidR="00115EE2" w:rsidRPr="00CF6045" w:rsidRDefault="00115EE2" w:rsidP="00115EE2">
            <w:pPr>
              <w:spacing w:after="120"/>
              <w:jc w:val="center"/>
              <w:rPr>
                <w:b/>
                <w:caps/>
                <w:sz w:val="20"/>
              </w:rPr>
            </w:pPr>
            <w:r w:rsidRPr="00CF6045">
              <w:rPr>
                <w:b/>
                <w:caps/>
                <w:sz w:val="20"/>
              </w:rPr>
              <w:t>£000</w:t>
            </w:r>
          </w:p>
        </w:tc>
        <w:tc>
          <w:tcPr>
            <w:tcW w:w="992" w:type="dxa"/>
            <w:gridSpan w:val="2"/>
          </w:tcPr>
          <w:p w14:paraId="6522467B" w14:textId="77777777" w:rsidR="00115EE2" w:rsidRPr="00CF6045" w:rsidRDefault="00115EE2" w:rsidP="00115EE2">
            <w:pPr>
              <w:spacing w:after="120"/>
              <w:jc w:val="center"/>
              <w:rPr>
                <w:b/>
                <w:sz w:val="20"/>
              </w:rPr>
            </w:pPr>
            <w:r w:rsidRPr="00CF6045">
              <w:rPr>
                <w:b/>
                <w:caps/>
                <w:sz w:val="20"/>
              </w:rPr>
              <w:t>£000</w:t>
            </w:r>
          </w:p>
        </w:tc>
        <w:tc>
          <w:tcPr>
            <w:tcW w:w="1014" w:type="dxa"/>
          </w:tcPr>
          <w:p w14:paraId="6EF6C4FB" w14:textId="77777777" w:rsidR="00115EE2" w:rsidRPr="00CF6045" w:rsidRDefault="00115EE2" w:rsidP="00115EE2">
            <w:pPr>
              <w:spacing w:after="120"/>
              <w:jc w:val="center"/>
              <w:rPr>
                <w:b/>
                <w:caps/>
                <w:sz w:val="20"/>
              </w:rPr>
            </w:pPr>
            <w:r w:rsidRPr="00CF6045">
              <w:rPr>
                <w:b/>
                <w:caps/>
                <w:sz w:val="20"/>
              </w:rPr>
              <w:t>£000</w:t>
            </w:r>
          </w:p>
        </w:tc>
      </w:tr>
      <w:tr w:rsidR="00115EE2" w:rsidRPr="00541497" w14:paraId="0C780435" w14:textId="77777777" w:rsidTr="00BF4886">
        <w:trPr>
          <w:gridAfter w:val="1"/>
          <w:wAfter w:w="1560" w:type="dxa"/>
          <w:cantSplit/>
        </w:trPr>
        <w:tc>
          <w:tcPr>
            <w:tcW w:w="4961" w:type="dxa"/>
            <w:gridSpan w:val="3"/>
          </w:tcPr>
          <w:p w14:paraId="095A9F10" w14:textId="77777777" w:rsidR="00115EE2" w:rsidRPr="00325EA4" w:rsidRDefault="00115EE2" w:rsidP="00115EE2">
            <w:pPr>
              <w:numPr>
                <w:ilvl w:val="0"/>
                <w:numId w:val="6"/>
              </w:numPr>
              <w:tabs>
                <w:tab w:val="num" w:pos="342"/>
              </w:tabs>
              <w:spacing w:after="240"/>
              <w:ind w:left="342" w:hanging="342"/>
              <w:rPr>
                <w:b/>
                <w:sz w:val="20"/>
              </w:rPr>
            </w:pPr>
            <w:r w:rsidRPr="00325EA4">
              <w:rPr>
                <w:b/>
                <w:sz w:val="20"/>
              </w:rPr>
              <w:t>Adoption of the Revised CIPFA Code of Practice on Treasury Management</w:t>
            </w:r>
          </w:p>
        </w:tc>
        <w:tc>
          <w:tcPr>
            <w:tcW w:w="4144" w:type="dxa"/>
            <w:gridSpan w:val="5"/>
            <w:vAlign w:val="center"/>
          </w:tcPr>
          <w:p w14:paraId="7494D338" w14:textId="77777777" w:rsidR="00115EE2" w:rsidRPr="0052569D" w:rsidRDefault="00115EE2" w:rsidP="00F0422E">
            <w:pPr>
              <w:spacing w:after="240"/>
              <w:jc w:val="center"/>
              <w:rPr>
                <w:sz w:val="20"/>
              </w:rPr>
            </w:pPr>
            <w:r w:rsidRPr="0052569D">
              <w:rPr>
                <w:sz w:val="20"/>
              </w:rPr>
              <w:t xml:space="preserve">Adopted for all years </w:t>
            </w:r>
          </w:p>
        </w:tc>
      </w:tr>
      <w:tr w:rsidR="00B72D69" w:rsidRPr="00541497" w14:paraId="1CFE8B5B" w14:textId="77777777" w:rsidTr="00BF4886">
        <w:trPr>
          <w:gridAfter w:val="1"/>
          <w:wAfter w:w="1560" w:type="dxa"/>
          <w:cantSplit/>
        </w:trPr>
        <w:tc>
          <w:tcPr>
            <w:tcW w:w="4961" w:type="dxa"/>
            <w:gridSpan w:val="3"/>
          </w:tcPr>
          <w:p w14:paraId="73461847" w14:textId="77777777" w:rsidR="00B72D69" w:rsidRPr="00325EA4" w:rsidRDefault="00B72D69" w:rsidP="00115EE2">
            <w:pPr>
              <w:numPr>
                <w:ilvl w:val="0"/>
                <w:numId w:val="6"/>
              </w:numPr>
              <w:tabs>
                <w:tab w:val="num" w:pos="342"/>
              </w:tabs>
              <w:spacing w:after="240"/>
              <w:ind w:left="342" w:hanging="342"/>
              <w:rPr>
                <w:b/>
                <w:sz w:val="20"/>
              </w:rPr>
            </w:pPr>
            <w:r w:rsidRPr="00325EA4">
              <w:rPr>
                <w:b/>
                <w:sz w:val="20"/>
              </w:rPr>
              <w:t>Estimated capital expenditure</w:t>
            </w:r>
            <w:r w:rsidR="00264998" w:rsidRPr="00325EA4">
              <w:rPr>
                <w:b/>
                <w:sz w:val="20"/>
              </w:rPr>
              <w:t xml:space="preserve">                                </w:t>
            </w:r>
          </w:p>
        </w:tc>
        <w:tc>
          <w:tcPr>
            <w:tcW w:w="4144" w:type="dxa"/>
            <w:gridSpan w:val="5"/>
            <w:vAlign w:val="center"/>
          </w:tcPr>
          <w:p w14:paraId="631E5061" w14:textId="2762D343" w:rsidR="00B72D69" w:rsidRPr="00325EA4" w:rsidRDefault="00264998" w:rsidP="00325EA4">
            <w:pPr>
              <w:spacing w:after="240"/>
              <w:rPr>
                <w:sz w:val="20"/>
              </w:rPr>
            </w:pPr>
            <w:r w:rsidRPr="00325EA4">
              <w:rPr>
                <w:sz w:val="20"/>
              </w:rPr>
              <w:t xml:space="preserve"> 14,197           </w:t>
            </w:r>
            <w:r w:rsidR="00325EA4" w:rsidRPr="0052569D">
              <w:rPr>
                <w:sz w:val="20"/>
              </w:rPr>
              <w:t>30,649</w:t>
            </w:r>
            <w:r w:rsidRPr="00325EA4">
              <w:rPr>
                <w:sz w:val="20"/>
              </w:rPr>
              <w:t xml:space="preserve">       </w:t>
            </w:r>
            <w:r w:rsidR="00325EA4" w:rsidRPr="0052569D">
              <w:rPr>
                <w:sz w:val="20"/>
              </w:rPr>
              <w:t>42,700</w:t>
            </w:r>
            <w:r w:rsidR="0015224C">
              <w:rPr>
                <w:sz w:val="20"/>
              </w:rPr>
              <w:t xml:space="preserve">      </w:t>
            </w:r>
            <w:r w:rsidR="00325EA4" w:rsidRPr="0052569D">
              <w:rPr>
                <w:sz w:val="20"/>
              </w:rPr>
              <w:t>48,848</w:t>
            </w:r>
          </w:p>
        </w:tc>
      </w:tr>
      <w:tr w:rsidR="00115EE2" w:rsidRPr="00541497" w14:paraId="41200772" w14:textId="77777777" w:rsidTr="00BF4886">
        <w:trPr>
          <w:gridAfter w:val="1"/>
          <w:wAfter w:w="1560" w:type="dxa"/>
        </w:trPr>
        <w:tc>
          <w:tcPr>
            <w:tcW w:w="4961" w:type="dxa"/>
            <w:gridSpan w:val="3"/>
          </w:tcPr>
          <w:p w14:paraId="6C34EE09" w14:textId="77777777" w:rsidR="00115EE2" w:rsidRPr="0052569D" w:rsidRDefault="00115EE2" w:rsidP="00115EE2">
            <w:pPr>
              <w:numPr>
                <w:ilvl w:val="0"/>
                <w:numId w:val="6"/>
              </w:numPr>
              <w:tabs>
                <w:tab w:val="num" w:pos="342"/>
              </w:tabs>
              <w:spacing w:after="120"/>
              <w:ind w:left="342" w:hanging="342"/>
              <w:rPr>
                <w:b/>
                <w:sz w:val="20"/>
              </w:rPr>
            </w:pPr>
            <w:r w:rsidRPr="00325EA4">
              <w:rPr>
                <w:b/>
                <w:sz w:val="20"/>
              </w:rPr>
              <w:t>Authorised limit for external debt</w:t>
            </w:r>
            <w:r w:rsidRPr="00325EA4">
              <w:rPr>
                <w:sz w:val="20"/>
              </w:rPr>
              <w:t xml:space="preserve"> - A prudent estimate of external debt, which includes sufficient headroom for unusual cash movements.</w:t>
            </w:r>
          </w:p>
        </w:tc>
        <w:tc>
          <w:tcPr>
            <w:tcW w:w="1146" w:type="dxa"/>
          </w:tcPr>
          <w:p w14:paraId="459CB027" w14:textId="77777777" w:rsidR="00115EE2" w:rsidRPr="0052569D" w:rsidRDefault="00115EE2" w:rsidP="00115EE2">
            <w:pPr>
              <w:tabs>
                <w:tab w:val="decimal" w:pos="792"/>
              </w:tabs>
              <w:spacing w:after="120"/>
              <w:rPr>
                <w:caps/>
                <w:sz w:val="20"/>
              </w:rPr>
            </w:pPr>
          </w:p>
        </w:tc>
        <w:tc>
          <w:tcPr>
            <w:tcW w:w="992" w:type="dxa"/>
          </w:tcPr>
          <w:p w14:paraId="271E9CC4" w14:textId="77777777" w:rsidR="00115EE2" w:rsidRPr="0052569D" w:rsidRDefault="00115EE2" w:rsidP="00EE5638">
            <w:pPr>
              <w:tabs>
                <w:tab w:val="decimal" w:pos="792"/>
              </w:tabs>
              <w:spacing w:after="120"/>
              <w:rPr>
                <w:caps/>
                <w:sz w:val="20"/>
              </w:rPr>
            </w:pPr>
          </w:p>
        </w:tc>
        <w:tc>
          <w:tcPr>
            <w:tcW w:w="992" w:type="dxa"/>
            <w:gridSpan w:val="2"/>
          </w:tcPr>
          <w:p w14:paraId="5C70C173" w14:textId="77777777" w:rsidR="00115EE2" w:rsidRPr="0052569D" w:rsidRDefault="00115EE2" w:rsidP="00115EE2">
            <w:pPr>
              <w:tabs>
                <w:tab w:val="decimal" w:pos="792"/>
              </w:tabs>
              <w:spacing w:after="120"/>
              <w:rPr>
                <w:sz w:val="20"/>
              </w:rPr>
            </w:pPr>
          </w:p>
        </w:tc>
        <w:tc>
          <w:tcPr>
            <w:tcW w:w="1014" w:type="dxa"/>
          </w:tcPr>
          <w:p w14:paraId="6CBA4618" w14:textId="77777777" w:rsidR="00115EE2" w:rsidRPr="0052569D" w:rsidRDefault="00115EE2" w:rsidP="00115EE2">
            <w:pPr>
              <w:tabs>
                <w:tab w:val="decimal" w:pos="792"/>
              </w:tabs>
              <w:spacing w:after="120"/>
              <w:rPr>
                <w:sz w:val="20"/>
              </w:rPr>
            </w:pPr>
          </w:p>
        </w:tc>
      </w:tr>
      <w:tr w:rsidR="00115EE2" w:rsidRPr="00541497" w14:paraId="248D3C30" w14:textId="77777777" w:rsidTr="00BF4886">
        <w:trPr>
          <w:gridAfter w:val="1"/>
          <w:wAfter w:w="1560" w:type="dxa"/>
        </w:trPr>
        <w:tc>
          <w:tcPr>
            <w:tcW w:w="4961" w:type="dxa"/>
            <w:gridSpan w:val="3"/>
          </w:tcPr>
          <w:p w14:paraId="04CA7CA8" w14:textId="77777777" w:rsidR="00115EE2" w:rsidRPr="00325EA4" w:rsidRDefault="00115EE2" w:rsidP="00115EE2">
            <w:pPr>
              <w:tabs>
                <w:tab w:val="left" w:pos="342"/>
              </w:tabs>
              <w:spacing w:after="120"/>
              <w:ind w:left="342"/>
              <w:rPr>
                <w:sz w:val="20"/>
              </w:rPr>
            </w:pPr>
            <w:r w:rsidRPr="00325EA4">
              <w:rPr>
                <w:sz w:val="20"/>
              </w:rPr>
              <w:t>Borrowing</w:t>
            </w:r>
          </w:p>
        </w:tc>
        <w:tc>
          <w:tcPr>
            <w:tcW w:w="1146" w:type="dxa"/>
            <w:vAlign w:val="center"/>
          </w:tcPr>
          <w:p w14:paraId="671CDD25" w14:textId="2D078CB5" w:rsidR="00115EE2" w:rsidRPr="00325EA4" w:rsidRDefault="00325EA4" w:rsidP="000376E1">
            <w:pPr>
              <w:tabs>
                <w:tab w:val="decimal" w:pos="792"/>
              </w:tabs>
              <w:spacing w:after="120"/>
              <w:rPr>
                <w:caps/>
                <w:sz w:val="20"/>
              </w:rPr>
            </w:pPr>
            <w:r>
              <w:rPr>
                <w:caps/>
                <w:sz w:val="20"/>
              </w:rPr>
              <w:t>120</w:t>
            </w:r>
            <w:r w:rsidR="00751F20" w:rsidRPr="00325EA4">
              <w:rPr>
                <w:caps/>
                <w:sz w:val="20"/>
              </w:rPr>
              <w:t>,000</w:t>
            </w:r>
          </w:p>
        </w:tc>
        <w:tc>
          <w:tcPr>
            <w:tcW w:w="992" w:type="dxa"/>
            <w:vAlign w:val="center"/>
          </w:tcPr>
          <w:p w14:paraId="595CC369" w14:textId="15ADC3EA" w:rsidR="00115EE2" w:rsidRPr="00656884" w:rsidRDefault="00656884" w:rsidP="00656884">
            <w:pPr>
              <w:tabs>
                <w:tab w:val="decimal" w:pos="792"/>
              </w:tabs>
              <w:spacing w:after="120"/>
              <w:rPr>
                <w:caps/>
                <w:sz w:val="20"/>
              </w:rPr>
            </w:pPr>
            <w:r w:rsidRPr="00656884">
              <w:rPr>
                <w:caps/>
                <w:sz w:val="20"/>
              </w:rPr>
              <w:t>1</w:t>
            </w:r>
            <w:r>
              <w:rPr>
                <w:caps/>
                <w:sz w:val="20"/>
              </w:rPr>
              <w:t>30</w:t>
            </w:r>
            <w:r w:rsidR="00751F20" w:rsidRPr="00656884">
              <w:rPr>
                <w:caps/>
                <w:sz w:val="20"/>
              </w:rPr>
              <w:t>,000</w:t>
            </w:r>
          </w:p>
        </w:tc>
        <w:tc>
          <w:tcPr>
            <w:tcW w:w="992" w:type="dxa"/>
            <w:gridSpan w:val="2"/>
            <w:vAlign w:val="center"/>
          </w:tcPr>
          <w:p w14:paraId="56C16D5B" w14:textId="46419869" w:rsidR="00115EE2" w:rsidRPr="0052569D" w:rsidRDefault="00656884" w:rsidP="00656884">
            <w:pPr>
              <w:tabs>
                <w:tab w:val="decimal" w:pos="792"/>
              </w:tabs>
              <w:spacing w:after="120"/>
              <w:rPr>
                <w:caps/>
                <w:sz w:val="20"/>
              </w:rPr>
            </w:pPr>
            <w:r w:rsidRPr="00656884">
              <w:rPr>
                <w:caps/>
                <w:sz w:val="20"/>
              </w:rPr>
              <w:t>1</w:t>
            </w:r>
            <w:r>
              <w:rPr>
                <w:caps/>
                <w:sz w:val="20"/>
              </w:rPr>
              <w:t>6</w:t>
            </w:r>
            <w:r w:rsidRPr="00656884">
              <w:rPr>
                <w:caps/>
                <w:sz w:val="20"/>
              </w:rPr>
              <w:t>0</w:t>
            </w:r>
            <w:r w:rsidR="00751F20" w:rsidRPr="00656884">
              <w:rPr>
                <w:caps/>
                <w:sz w:val="20"/>
              </w:rPr>
              <w:t>,000</w:t>
            </w:r>
          </w:p>
        </w:tc>
        <w:tc>
          <w:tcPr>
            <w:tcW w:w="1014" w:type="dxa"/>
            <w:vAlign w:val="center"/>
          </w:tcPr>
          <w:p w14:paraId="558D3092" w14:textId="48C62ACA" w:rsidR="00115EE2" w:rsidRPr="0052569D" w:rsidRDefault="0015224C" w:rsidP="000376E1">
            <w:pPr>
              <w:tabs>
                <w:tab w:val="decimal" w:pos="792"/>
              </w:tabs>
              <w:spacing w:after="120"/>
              <w:rPr>
                <w:caps/>
                <w:sz w:val="20"/>
              </w:rPr>
            </w:pPr>
            <w:r>
              <w:rPr>
                <w:caps/>
                <w:sz w:val="20"/>
              </w:rPr>
              <w:t>190,000</w:t>
            </w:r>
          </w:p>
        </w:tc>
      </w:tr>
      <w:tr w:rsidR="00115EE2" w:rsidRPr="00541497" w14:paraId="13116BE7" w14:textId="77777777" w:rsidTr="00BF4886">
        <w:trPr>
          <w:gridAfter w:val="1"/>
          <w:wAfter w:w="1560" w:type="dxa"/>
        </w:trPr>
        <w:tc>
          <w:tcPr>
            <w:tcW w:w="4961" w:type="dxa"/>
            <w:gridSpan w:val="3"/>
          </w:tcPr>
          <w:p w14:paraId="594ACD89" w14:textId="77777777" w:rsidR="00115EE2" w:rsidRPr="00325EA4" w:rsidRDefault="00115EE2" w:rsidP="00115EE2">
            <w:pPr>
              <w:tabs>
                <w:tab w:val="left" w:pos="342"/>
              </w:tabs>
              <w:spacing w:after="120"/>
              <w:ind w:left="342"/>
              <w:rPr>
                <w:sz w:val="20"/>
              </w:rPr>
            </w:pPr>
            <w:r w:rsidRPr="00325EA4">
              <w:rPr>
                <w:sz w:val="20"/>
              </w:rPr>
              <w:t>Other long-term liabilities</w:t>
            </w:r>
          </w:p>
        </w:tc>
        <w:tc>
          <w:tcPr>
            <w:tcW w:w="1146" w:type="dxa"/>
          </w:tcPr>
          <w:p w14:paraId="25BBE147" w14:textId="77777777" w:rsidR="00115EE2" w:rsidRPr="0052569D" w:rsidRDefault="00751F20" w:rsidP="00115EE2">
            <w:pPr>
              <w:tabs>
                <w:tab w:val="decimal" w:pos="792"/>
              </w:tabs>
              <w:spacing w:after="120"/>
              <w:rPr>
                <w:caps/>
                <w:sz w:val="20"/>
              </w:rPr>
            </w:pPr>
            <w:r w:rsidRPr="0052569D">
              <w:rPr>
                <w:caps/>
                <w:sz w:val="20"/>
              </w:rPr>
              <w:t>5,000</w:t>
            </w:r>
          </w:p>
        </w:tc>
        <w:tc>
          <w:tcPr>
            <w:tcW w:w="992" w:type="dxa"/>
          </w:tcPr>
          <w:p w14:paraId="33BE38D6" w14:textId="77777777" w:rsidR="00115EE2" w:rsidRPr="0052569D" w:rsidRDefault="00751F20" w:rsidP="00115EE2">
            <w:pPr>
              <w:tabs>
                <w:tab w:val="decimal" w:pos="792"/>
              </w:tabs>
              <w:spacing w:after="120"/>
              <w:rPr>
                <w:caps/>
                <w:sz w:val="20"/>
              </w:rPr>
            </w:pPr>
            <w:r w:rsidRPr="0052569D">
              <w:rPr>
                <w:caps/>
                <w:sz w:val="20"/>
              </w:rPr>
              <w:t>5,000</w:t>
            </w:r>
          </w:p>
        </w:tc>
        <w:tc>
          <w:tcPr>
            <w:tcW w:w="992" w:type="dxa"/>
            <w:gridSpan w:val="2"/>
          </w:tcPr>
          <w:p w14:paraId="23972DA1" w14:textId="77777777" w:rsidR="00115EE2" w:rsidRPr="0052569D" w:rsidRDefault="00751F20" w:rsidP="00115EE2">
            <w:pPr>
              <w:tabs>
                <w:tab w:val="decimal" w:pos="792"/>
              </w:tabs>
              <w:spacing w:after="120"/>
              <w:rPr>
                <w:sz w:val="20"/>
              </w:rPr>
            </w:pPr>
            <w:r w:rsidRPr="0052569D">
              <w:rPr>
                <w:sz w:val="20"/>
              </w:rPr>
              <w:t>5,000</w:t>
            </w:r>
          </w:p>
        </w:tc>
        <w:tc>
          <w:tcPr>
            <w:tcW w:w="1014" w:type="dxa"/>
          </w:tcPr>
          <w:p w14:paraId="79BE42B1" w14:textId="77777777" w:rsidR="00115EE2" w:rsidRPr="0052569D" w:rsidRDefault="00751F20" w:rsidP="00115EE2">
            <w:pPr>
              <w:tabs>
                <w:tab w:val="decimal" w:pos="792"/>
              </w:tabs>
              <w:spacing w:after="120"/>
              <w:rPr>
                <w:caps/>
                <w:sz w:val="20"/>
              </w:rPr>
            </w:pPr>
            <w:r w:rsidRPr="0052569D">
              <w:rPr>
                <w:caps/>
                <w:sz w:val="20"/>
              </w:rPr>
              <w:t>5,000</w:t>
            </w:r>
          </w:p>
        </w:tc>
      </w:tr>
      <w:tr w:rsidR="00115EE2" w:rsidRPr="00541497" w14:paraId="18ABFA5F" w14:textId="77777777" w:rsidTr="00BF4886">
        <w:trPr>
          <w:gridAfter w:val="1"/>
          <w:wAfter w:w="1560" w:type="dxa"/>
        </w:trPr>
        <w:tc>
          <w:tcPr>
            <w:tcW w:w="4961" w:type="dxa"/>
            <w:gridSpan w:val="3"/>
          </w:tcPr>
          <w:p w14:paraId="1E652A1A" w14:textId="77777777" w:rsidR="00115EE2" w:rsidRPr="00325EA4" w:rsidRDefault="00115EE2" w:rsidP="00115EE2">
            <w:pPr>
              <w:tabs>
                <w:tab w:val="left" w:pos="342"/>
              </w:tabs>
              <w:spacing w:before="120" w:after="120"/>
              <w:ind w:left="342"/>
              <w:rPr>
                <w:sz w:val="20"/>
              </w:rPr>
            </w:pPr>
            <w:r w:rsidRPr="00325EA4">
              <w:rPr>
                <w:sz w:val="20"/>
              </w:rPr>
              <w:t>TOTAL</w:t>
            </w:r>
          </w:p>
        </w:tc>
        <w:tc>
          <w:tcPr>
            <w:tcW w:w="1146" w:type="dxa"/>
            <w:tcBorders>
              <w:top w:val="single" w:sz="4" w:space="0" w:color="auto"/>
              <w:bottom w:val="single" w:sz="4" w:space="0" w:color="auto"/>
            </w:tcBorders>
            <w:vAlign w:val="center"/>
          </w:tcPr>
          <w:p w14:paraId="2A0CEF3A" w14:textId="5D80DB05" w:rsidR="00115EE2" w:rsidRPr="00656884" w:rsidRDefault="00656884" w:rsidP="000376E1">
            <w:pPr>
              <w:tabs>
                <w:tab w:val="decimal" w:pos="792"/>
              </w:tabs>
              <w:spacing w:after="120"/>
              <w:rPr>
                <w:caps/>
                <w:sz w:val="20"/>
              </w:rPr>
            </w:pPr>
            <w:r>
              <w:rPr>
                <w:caps/>
                <w:sz w:val="20"/>
              </w:rPr>
              <w:t>125</w:t>
            </w:r>
            <w:r w:rsidR="00751F20" w:rsidRPr="00656884">
              <w:rPr>
                <w:caps/>
                <w:sz w:val="20"/>
              </w:rPr>
              <w:t>,000</w:t>
            </w:r>
          </w:p>
        </w:tc>
        <w:tc>
          <w:tcPr>
            <w:tcW w:w="992" w:type="dxa"/>
            <w:tcBorders>
              <w:top w:val="single" w:sz="4" w:space="0" w:color="auto"/>
              <w:bottom w:val="single" w:sz="4" w:space="0" w:color="auto"/>
            </w:tcBorders>
            <w:vAlign w:val="center"/>
          </w:tcPr>
          <w:p w14:paraId="4D425E5C" w14:textId="335F37B8" w:rsidR="00115EE2" w:rsidRPr="00656884" w:rsidRDefault="00656884" w:rsidP="00656884">
            <w:pPr>
              <w:tabs>
                <w:tab w:val="decimal" w:pos="792"/>
              </w:tabs>
              <w:spacing w:after="120"/>
              <w:rPr>
                <w:caps/>
                <w:sz w:val="20"/>
              </w:rPr>
            </w:pPr>
            <w:r w:rsidRPr="00656884">
              <w:rPr>
                <w:caps/>
                <w:sz w:val="20"/>
              </w:rPr>
              <w:t>13</w:t>
            </w:r>
            <w:r>
              <w:rPr>
                <w:caps/>
                <w:sz w:val="20"/>
              </w:rPr>
              <w:t>5</w:t>
            </w:r>
            <w:r w:rsidR="00751F20" w:rsidRPr="00656884">
              <w:rPr>
                <w:caps/>
                <w:sz w:val="20"/>
              </w:rPr>
              <w:t>,000</w:t>
            </w:r>
          </w:p>
        </w:tc>
        <w:tc>
          <w:tcPr>
            <w:tcW w:w="992" w:type="dxa"/>
            <w:gridSpan w:val="2"/>
            <w:tcBorders>
              <w:top w:val="single" w:sz="4" w:space="0" w:color="auto"/>
              <w:bottom w:val="single" w:sz="4" w:space="0" w:color="auto"/>
            </w:tcBorders>
            <w:vAlign w:val="center"/>
          </w:tcPr>
          <w:p w14:paraId="062AC48B" w14:textId="756462F1" w:rsidR="00115EE2" w:rsidRPr="00656884" w:rsidRDefault="00751F20" w:rsidP="0015224C">
            <w:pPr>
              <w:tabs>
                <w:tab w:val="decimal" w:pos="792"/>
              </w:tabs>
              <w:spacing w:after="120"/>
              <w:rPr>
                <w:caps/>
                <w:sz w:val="20"/>
              </w:rPr>
            </w:pPr>
            <w:r w:rsidRPr="00656884">
              <w:rPr>
                <w:caps/>
                <w:sz w:val="20"/>
              </w:rPr>
              <w:t>1</w:t>
            </w:r>
            <w:r w:rsidR="00656884">
              <w:rPr>
                <w:caps/>
                <w:sz w:val="20"/>
              </w:rPr>
              <w:t>6</w:t>
            </w:r>
            <w:r w:rsidRPr="00656884">
              <w:rPr>
                <w:caps/>
                <w:sz w:val="20"/>
              </w:rPr>
              <w:t>5,000</w:t>
            </w:r>
          </w:p>
        </w:tc>
        <w:tc>
          <w:tcPr>
            <w:tcW w:w="1014" w:type="dxa"/>
            <w:tcBorders>
              <w:top w:val="single" w:sz="4" w:space="0" w:color="auto"/>
              <w:bottom w:val="single" w:sz="4" w:space="0" w:color="auto"/>
            </w:tcBorders>
            <w:vAlign w:val="center"/>
          </w:tcPr>
          <w:p w14:paraId="31C2C929" w14:textId="66E94CB5" w:rsidR="00115EE2" w:rsidRPr="0052569D" w:rsidRDefault="00656884" w:rsidP="00656884">
            <w:pPr>
              <w:tabs>
                <w:tab w:val="decimal" w:pos="792"/>
              </w:tabs>
              <w:spacing w:after="120"/>
              <w:rPr>
                <w:caps/>
                <w:sz w:val="20"/>
              </w:rPr>
            </w:pPr>
            <w:r w:rsidRPr="0052569D">
              <w:rPr>
                <w:caps/>
                <w:sz w:val="20"/>
              </w:rPr>
              <w:t>1</w:t>
            </w:r>
            <w:r>
              <w:rPr>
                <w:caps/>
                <w:sz w:val="20"/>
              </w:rPr>
              <w:t>9</w:t>
            </w:r>
            <w:r w:rsidRPr="00656884">
              <w:rPr>
                <w:caps/>
                <w:sz w:val="20"/>
              </w:rPr>
              <w:t>5</w:t>
            </w:r>
            <w:r w:rsidR="00751F20" w:rsidRPr="00656884">
              <w:rPr>
                <w:caps/>
                <w:sz w:val="20"/>
              </w:rPr>
              <w:t>,000</w:t>
            </w:r>
          </w:p>
        </w:tc>
      </w:tr>
      <w:tr w:rsidR="00115EE2" w:rsidRPr="00541497" w14:paraId="7F381209" w14:textId="77777777" w:rsidTr="00BF4886">
        <w:trPr>
          <w:gridAfter w:val="1"/>
          <w:wAfter w:w="1560" w:type="dxa"/>
        </w:trPr>
        <w:tc>
          <w:tcPr>
            <w:tcW w:w="4961" w:type="dxa"/>
            <w:gridSpan w:val="3"/>
          </w:tcPr>
          <w:p w14:paraId="18B0C523" w14:textId="77777777" w:rsidR="00115EE2" w:rsidRPr="0052569D" w:rsidRDefault="00115EE2" w:rsidP="00115EE2">
            <w:pPr>
              <w:numPr>
                <w:ilvl w:val="0"/>
                <w:numId w:val="6"/>
              </w:numPr>
              <w:tabs>
                <w:tab w:val="num" w:pos="342"/>
              </w:tabs>
              <w:spacing w:before="240" w:after="120"/>
              <w:ind w:left="342" w:hanging="342"/>
              <w:rPr>
                <w:b/>
                <w:sz w:val="20"/>
              </w:rPr>
            </w:pPr>
            <w:r w:rsidRPr="00325EA4">
              <w:rPr>
                <w:b/>
                <w:sz w:val="20"/>
              </w:rPr>
              <w:t>Operational boundary for external debt</w:t>
            </w:r>
            <w:r w:rsidRPr="00325EA4">
              <w:rPr>
                <w:sz w:val="20"/>
              </w:rPr>
              <w:t xml:space="preserve"> - A prudent estimate of debt, but no provision for unusual cash movements.  It represents the estimated maximum external debt ari</w:t>
            </w:r>
            <w:r w:rsidRPr="0052569D">
              <w:rPr>
                <w:sz w:val="20"/>
              </w:rPr>
              <w:t xml:space="preserve">sing </w:t>
            </w:r>
            <w:proofErr w:type="gramStart"/>
            <w:r w:rsidRPr="0052569D">
              <w:rPr>
                <w:sz w:val="20"/>
              </w:rPr>
              <w:t>as a consequence of</w:t>
            </w:r>
            <w:proofErr w:type="gramEnd"/>
            <w:r w:rsidRPr="0052569D">
              <w:rPr>
                <w:sz w:val="20"/>
              </w:rPr>
              <w:t xml:space="preserve"> the Commissioner's current plans.</w:t>
            </w:r>
          </w:p>
        </w:tc>
        <w:tc>
          <w:tcPr>
            <w:tcW w:w="1146" w:type="dxa"/>
          </w:tcPr>
          <w:p w14:paraId="50879326" w14:textId="77777777" w:rsidR="00115EE2" w:rsidRPr="0052569D" w:rsidRDefault="00115EE2" w:rsidP="00115EE2">
            <w:pPr>
              <w:tabs>
                <w:tab w:val="decimal" w:pos="792"/>
              </w:tabs>
              <w:spacing w:before="240" w:after="120"/>
              <w:rPr>
                <w:caps/>
                <w:sz w:val="20"/>
              </w:rPr>
            </w:pPr>
          </w:p>
        </w:tc>
        <w:tc>
          <w:tcPr>
            <w:tcW w:w="992" w:type="dxa"/>
          </w:tcPr>
          <w:p w14:paraId="7C2504EC" w14:textId="77777777" w:rsidR="00115EE2" w:rsidRPr="0052569D" w:rsidRDefault="00115EE2" w:rsidP="00115EE2">
            <w:pPr>
              <w:tabs>
                <w:tab w:val="decimal" w:pos="792"/>
              </w:tabs>
              <w:spacing w:before="240" w:after="120"/>
              <w:rPr>
                <w:caps/>
                <w:sz w:val="20"/>
              </w:rPr>
            </w:pPr>
          </w:p>
        </w:tc>
        <w:tc>
          <w:tcPr>
            <w:tcW w:w="992" w:type="dxa"/>
            <w:gridSpan w:val="2"/>
          </w:tcPr>
          <w:p w14:paraId="333AD60F" w14:textId="77777777" w:rsidR="00115EE2" w:rsidRPr="0052569D" w:rsidRDefault="00115EE2" w:rsidP="00115EE2">
            <w:pPr>
              <w:tabs>
                <w:tab w:val="decimal" w:pos="792"/>
              </w:tabs>
              <w:spacing w:before="240" w:after="120"/>
              <w:rPr>
                <w:sz w:val="20"/>
              </w:rPr>
            </w:pPr>
          </w:p>
        </w:tc>
        <w:tc>
          <w:tcPr>
            <w:tcW w:w="1014" w:type="dxa"/>
          </w:tcPr>
          <w:p w14:paraId="7332CEE5" w14:textId="77777777" w:rsidR="00115EE2" w:rsidRPr="0052569D" w:rsidRDefault="00115EE2" w:rsidP="00115EE2">
            <w:pPr>
              <w:tabs>
                <w:tab w:val="decimal" w:pos="792"/>
              </w:tabs>
              <w:spacing w:before="240" w:after="120"/>
              <w:rPr>
                <w:sz w:val="20"/>
              </w:rPr>
            </w:pPr>
          </w:p>
        </w:tc>
      </w:tr>
      <w:tr w:rsidR="00115EE2" w:rsidRPr="00541497" w14:paraId="3D1D6245" w14:textId="77777777" w:rsidTr="00BF4886">
        <w:trPr>
          <w:gridAfter w:val="1"/>
          <w:wAfter w:w="1560" w:type="dxa"/>
        </w:trPr>
        <w:tc>
          <w:tcPr>
            <w:tcW w:w="4961" w:type="dxa"/>
            <w:gridSpan w:val="3"/>
          </w:tcPr>
          <w:p w14:paraId="2518E45F" w14:textId="77777777" w:rsidR="00115EE2" w:rsidRPr="00656884" w:rsidRDefault="00115EE2" w:rsidP="00115EE2">
            <w:pPr>
              <w:tabs>
                <w:tab w:val="left" w:pos="342"/>
              </w:tabs>
              <w:spacing w:after="120"/>
              <w:ind w:left="342"/>
              <w:rPr>
                <w:sz w:val="20"/>
              </w:rPr>
            </w:pPr>
            <w:r w:rsidRPr="00656884">
              <w:rPr>
                <w:sz w:val="20"/>
              </w:rPr>
              <w:t>Borrowing</w:t>
            </w:r>
          </w:p>
        </w:tc>
        <w:tc>
          <w:tcPr>
            <w:tcW w:w="1146" w:type="dxa"/>
          </w:tcPr>
          <w:p w14:paraId="46FDE927" w14:textId="1F30A4CE" w:rsidR="00115EE2" w:rsidRPr="00656884" w:rsidRDefault="00656884">
            <w:pPr>
              <w:tabs>
                <w:tab w:val="decimal" w:pos="792"/>
              </w:tabs>
              <w:spacing w:after="120"/>
              <w:rPr>
                <w:caps/>
                <w:sz w:val="20"/>
              </w:rPr>
            </w:pPr>
            <w:r w:rsidRPr="0052569D">
              <w:rPr>
                <w:caps/>
                <w:sz w:val="20"/>
              </w:rPr>
              <w:t>90</w:t>
            </w:r>
            <w:r w:rsidR="00751F20" w:rsidRPr="00656884">
              <w:rPr>
                <w:caps/>
                <w:sz w:val="20"/>
              </w:rPr>
              <w:t>,000</w:t>
            </w:r>
          </w:p>
        </w:tc>
        <w:tc>
          <w:tcPr>
            <w:tcW w:w="992" w:type="dxa"/>
          </w:tcPr>
          <w:p w14:paraId="15E65270" w14:textId="77777777" w:rsidR="00115EE2" w:rsidRPr="0052569D" w:rsidRDefault="00751F20" w:rsidP="00F575D9">
            <w:pPr>
              <w:tabs>
                <w:tab w:val="decimal" w:pos="792"/>
              </w:tabs>
              <w:spacing w:after="120"/>
              <w:rPr>
                <w:caps/>
                <w:sz w:val="20"/>
              </w:rPr>
            </w:pPr>
            <w:r w:rsidRPr="0052569D">
              <w:rPr>
                <w:caps/>
                <w:sz w:val="20"/>
              </w:rPr>
              <w:t>95,000</w:t>
            </w:r>
          </w:p>
        </w:tc>
        <w:tc>
          <w:tcPr>
            <w:tcW w:w="992" w:type="dxa"/>
            <w:gridSpan w:val="2"/>
          </w:tcPr>
          <w:p w14:paraId="3FF5614A" w14:textId="77777777" w:rsidR="00115EE2" w:rsidRPr="0052569D" w:rsidRDefault="00751F20" w:rsidP="00D35DFE">
            <w:pPr>
              <w:tabs>
                <w:tab w:val="decimal" w:pos="792"/>
              </w:tabs>
              <w:spacing w:after="120"/>
              <w:rPr>
                <w:sz w:val="20"/>
              </w:rPr>
            </w:pPr>
            <w:r w:rsidRPr="0052569D">
              <w:rPr>
                <w:sz w:val="20"/>
              </w:rPr>
              <w:t>120,000</w:t>
            </w:r>
          </w:p>
        </w:tc>
        <w:tc>
          <w:tcPr>
            <w:tcW w:w="1014" w:type="dxa"/>
          </w:tcPr>
          <w:p w14:paraId="43A21C1D" w14:textId="282F3FA4" w:rsidR="00115EE2" w:rsidRPr="0052569D" w:rsidRDefault="00656884" w:rsidP="00656884">
            <w:pPr>
              <w:tabs>
                <w:tab w:val="decimal" w:pos="792"/>
              </w:tabs>
              <w:spacing w:after="120"/>
              <w:rPr>
                <w:sz w:val="20"/>
              </w:rPr>
            </w:pPr>
            <w:r w:rsidRPr="0052569D">
              <w:rPr>
                <w:sz w:val="20"/>
              </w:rPr>
              <w:t>15</w:t>
            </w:r>
            <w:r w:rsidRPr="00656884">
              <w:rPr>
                <w:sz w:val="20"/>
              </w:rPr>
              <w:t>0</w:t>
            </w:r>
            <w:r w:rsidR="00751F20" w:rsidRPr="00656884">
              <w:rPr>
                <w:sz w:val="20"/>
              </w:rPr>
              <w:t>,000</w:t>
            </w:r>
          </w:p>
        </w:tc>
      </w:tr>
      <w:tr w:rsidR="00115EE2" w:rsidRPr="00541497" w14:paraId="08792787" w14:textId="77777777" w:rsidTr="00BF4886">
        <w:trPr>
          <w:gridAfter w:val="1"/>
          <w:wAfter w:w="1560" w:type="dxa"/>
        </w:trPr>
        <w:tc>
          <w:tcPr>
            <w:tcW w:w="4961" w:type="dxa"/>
            <w:gridSpan w:val="3"/>
          </w:tcPr>
          <w:p w14:paraId="2B4FD3D3" w14:textId="77777777" w:rsidR="00115EE2" w:rsidRPr="00656884" w:rsidRDefault="00115EE2" w:rsidP="00115EE2">
            <w:pPr>
              <w:tabs>
                <w:tab w:val="left" w:pos="342"/>
              </w:tabs>
              <w:spacing w:after="120"/>
              <w:ind w:left="342"/>
              <w:rPr>
                <w:sz w:val="20"/>
              </w:rPr>
            </w:pPr>
            <w:r w:rsidRPr="00656884">
              <w:rPr>
                <w:sz w:val="20"/>
              </w:rPr>
              <w:t>Other long-term liabilities</w:t>
            </w:r>
          </w:p>
        </w:tc>
        <w:tc>
          <w:tcPr>
            <w:tcW w:w="1146" w:type="dxa"/>
          </w:tcPr>
          <w:p w14:paraId="307E0891" w14:textId="77777777" w:rsidR="00115EE2" w:rsidRPr="0052569D" w:rsidRDefault="00751F20" w:rsidP="00115EE2">
            <w:pPr>
              <w:tabs>
                <w:tab w:val="decimal" w:pos="792"/>
              </w:tabs>
              <w:spacing w:after="120"/>
              <w:rPr>
                <w:caps/>
                <w:sz w:val="20"/>
              </w:rPr>
            </w:pPr>
            <w:r w:rsidRPr="0052569D">
              <w:rPr>
                <w:caps/>
                <w:sz w:val="20"/>
              </w:rPr>
              <w:t>500</w:t>
            </w:r>
          </w:p>
        </w:tc>
        <w:tc>
          <w:tcPr>
            <w:tcW w:w="992" w:type="dxa"/>
          </w:tcPr>
          <w:p w14:paraId="6E1B5E04" w14:textId="77777777" w:rsidR="00115EE2" w:rsidRPr="0052569D" w:rsidRDefault="00751F20" w:rsidP="00115EE2">
            <w:pPr>
              <w:tabs>
                <w:tab w:val="decimal" w:pos="792"/>
              </w:tabs>
              <w:spacing w:after="120"/>
              <w:rPr>
                <w:caps/>
                <w:sz w:val="20"/>
              </w:rPr>
            </w:pPr>
            <w:r w:rsidRPr="0052569D">
              <w:rPr>
                <w:caps/>
                <w:sz w:val="20"/>
              </w:rPr>
              <w:t>500</w:t>
            </w:r>
          </w:p>
        </w:tc>
        <w:tc>
          <w:tcPr>
            <w:tcW w:w="992" w:type="dxa"/>
            <w:gridSpan w:val="2"/>
          </w:tcPr>
          <w:p w14:paraId="2AF2BA43" w14:textId="77777777" w:rsidR="00115EE2" w:rsidRPr="0052569D" w:rsidRDefault="00751F20" w:rsidP="00115EE2">
            <w:pPr>
              <w:tabs>
                <w:tab w:val="decimal" w:pos="792"/>
              </w:tabs>
              <w:spacing w:after="120"/>
              <w:rPr>
                <w:sz w:val="20"/>
              </w:rPr>
            </w:pPr>
            <w:r w:rsidRPr="0052569D">
              <w:rPr>
                <w:sz w:val="20"/>
              </w:rPr>
              <w:t>500</w:t>
            </w:r>
          </w:p>
        </w:tc>
        <w:tc>
          <w:tcPr>
            <w:tcW w:w="1014" w:type="dxa"/>
          </w:tcPr>
          <w:p w14:paraId="3CE06B17" w14:textId="77777777" w:rsidR="00115EE2" w:rsidRPr="0052569D" w:rsidRDefault="00751F20" w:rsidP="00115EE2">
            <w:pPr>
              <w:tabs>
                <w:tab w:val="decimal" w:pos="792"/>
              </w:tabs>
              <w:spacing w:after="120"/>
              <w:rPr>
                <w:caps/>
                <w:sz w:val="20"/>
              </w:rPr>
            </w:pPr>
            <w:r w:rsidRPr="0052569D">
              <w:rPr>
                <w:caps/>
                <w:sz w:val="20"/>
              </w:rPr>
              <w:t>500</w:t>
            </w:r>
          </w:p>
        </w:tc>
      </w:tr>
      <w:tr w:rsidR="00115EE2" w:rsidRPr="00541497" w14:paraId="2CC7D84E" w14:textId="77777777" w:rsidTr="00BF4886">
        <w:trPr>
          <w:gridAfter w:val="1"/>
          <w:wAfter w:w="1560" w:type="dxa"/>
        </w:trPr>
        <w:tc>
          <w:tcPr>
            <w:tcW w:w="4961" w:type="dxa"/>
            <w:gridSpan w:val="3"/>
          </w:tcPr>
          <w:p w14:paraId="2AEE152D" w14:textId="77777777" w:rsidR="00115EE2" w:rsidRPr="00656884" w:rsidRDefault="00115EE2" w:rsidP="00115EE2">
            <w:pPr>
              <w:tabs>
                <w:tab w:val="left" w:pos="342"/>
              </w:tabs>
              <w:spacing w:before="120" w:after="120"/>
              <w:ind w:left="342"/>
              <w:rPr>
                <w:sz w:val="20"/>
              </w:rPr>
            </w:pPr>
            <w:r w:rsidRPr="00656884">
              <w:rPr>
                <w:sz w:val="20"/>
              </w:rPr>
              <w:t>TOTAL</w:t>
            </w:r>
          </w:p>
        </w:tc>
        <w:tc>
          <w:tcPr>
            <w:tcW w:w="1146" w:type="dxa"/>
            <w:tcBorders>
              <w:top w:val="single" w:sz="4" w:space="0" w:color="auto"/>
              <w:bottom w:val="single" w:sz="4" w:space="0" w:color="auto"/>
            </w:tcBorders>
          </w:tcPr>
          <w:p w14:paraId="0AAF1C7E" w14:textId="37A93106" w:rsidR="00115EE2" w:rsidRPr="00656884" w:rsidRDefault="00656884">
            <w:pPr>
              <w:tabs>
                <w:tab w:val="decimal" w:pos="792"/>
              </w:tabs>
              <w:spacing w:before="120" w:after="120"/>
              <w:rPr>
                <w:caps/>
                <w:sz w:val="20"/>
              </w:rPr>
            </w:pPr>
            <w:r w:rsidRPr="0052569D">
              <w:rPr>
                <w:caps/>
                <w:sz w:val="20"/>
              </w:rPr>
              <w:t>9</w:t>
            </w:r>
            <w:r w:rsidRPr="00656884">
              <w:rPr>
                <w:caps/>
                <w:sz w:val="20"/>
              </w:rPr>
              <w:t>5</w:t>
            </w:r>
            <w:r w:rsidR="00751F20" w:rsidRPr="00656884">
              <w:rPr>
                <w:caps/>
                <w:sz w:val="20"/>
              </w:rPr>
              <w:t>,500</w:t>
            </w:r>
          </w:p>
        </w:tc>
        <w:tc>
          <w:tcPr>
            <w:tcW w:w="992" w:type="dxa"/>
            <w:tcBorders>
              <w:top w:val="single" w:sz="4" w:space="0" w:color="auto"/>
              <w:bottom w:val="single" w:sz="4" w:space="0" w:color="auto"/>
            </w:tcBorders>
          </w:tcPr>
          <w:p w14:paraId="7AE4C9A3" w14:textId="77777777" w:rsidR="00115EE2" w:rsidRPr="0052569D" w:rsidRDefault="00751F20">
            <w:pPr>
              <w:tabs>
                <w:tab w:val="decimal" w:pos="792"/>
              </w:tabs>
              <w:spacing w:before="120" w:after="120"/>
              <w:rPr>
                <w:caps/>
                <w:sz w:val="20"/>
              </w:rPr>
            </w:pPr>
            <w:r w:rsidRPr="0052569D">
              <w:rPr>
                <w:caps/>
                <w:sz w:val="20"/>
              </w:rPr>
              <w:t>95,500</w:t>
            </w:r>
          </w:p>
        </w:tc>
        <w:tc>
          <w:tcPr>
            <w:tcW w:w="992" w:type="dxa"/>
            <w:gridSpan w:val="2"/>
            <w:tcBorders>
              <w:top w:val="single" w:sz="4" w:space="0" w:color="auto"/>
              <w:bottom w:val="single" w:sz="4" w:space="0" w:color="auto"/>
            </w:tcBorders>
          </w:tcPr>
          <w:p w14:paraId="36187770" w14:textId="77777777" w:rsidR="00115EE2" w:rsidRPr="0052569D" w:rsidRDefault="00751F20" w:rsidP="00D35DFE">
            <w:pPr>
              <w:tabs>
                <w:tab w:val="decimal" w:pos="792"/>
              </w:tabs>
              <w:spacing w:before="120" w:after="120"/>
              <w:rPr>
                <w:caps/>
                <w:sz w:val="20"/>
              </w:rPr>
            </w:pPr>
            <w:r w:rsidRPr="0052569D">
              <w:rPr>
                <w:caps/>
                <w:sz w:val="20"/>
              </w:rPr>
              <w:t>120,500</w:t>
            </w:r>
          </w:p>
        </w:tc>
        <w:tc>
          <w:tcPr>
            <w:tcW w:w="1014" w:type="dxa"/>
            <w:tcBorders>
              <w:top w:val="single" w:sz="4" w:space="0" w:color="auto"/>
              <w:bottom w:val="single" w:sz="4" w:space="0" w:color="auto"/>
            </w:tcBorders>
          </w:tcPr>
          <w:p w14:paraId="63AADC07" w14:textId="70CA80BA" w:rsidR="00115EE2" w:rsidRPr="0052569D" w:rsidRDefault="00656884" w:rsidP="00656884">
            <w:pPr>
              <w:tabs>
                <w:tab w:val="decimal" w:pos="792"/>
              </w:tabs>
              <w:spacing w:before="120" w:after="120"/>
              <w:rPr>
                <w:caps/>
                <w:sz w:val="20"/>
              </w:rPr>
            </w:pPr>
            <w:r w:rsidRPr="0052569D">
              <w:rPr>
                <w:caps/>
                <w:sz w:val="20"/>
              </w:rPr>
              <w:t>15</w:t>
            </w:r>
            <w:r w:rsidRPr="00656884">
              <w:rPr>
                <w:caps/>
                <w:sz w:val="20"/>
              </w:rPr>
              <w:t>0</w:t>
            </w:r>
            <w:r w:rsidR="00751F20" w:rsidRPr="00656884">
              <w:rPr>
                <w:caps/>
                <w:sz w:val="20"/>
              </w:rPr>
              <w:t>,500</w:t>
            </w:r>
          </w:p>
        </w:tc>
      </w:tr>
      <w:tr w:rsidR="00115EE2" w:rsidRPr="00541497" w14:paraId="2832561C" w14:textId="77777777" w:rsidTr="00BF4886">
        <w:tc>
          <w:tcPr>
            <w:tcW w:w="10665" w:type="dxa"/>
            <w:gridSpan w:val="9"/>
          </w:tcPr>
          <w:p w14:paraId="09C1E10F" w14:textId="77777777" w:rsidR="00115EE2" w:rsidRPr="00541497" w:rsidRDefault="00115EE2" w:rsidP="00115EE2">
            <w:pPr>
              <w:pStyle w:val="ListParagraph"/>
              <w:spacing w:before="240" w:after="120"/>
              <w:ind w:right="-4219"/>
              <w:rPr>
                <w:b/>
                <w:sz w:val="20"/>
                <w:highlight w:val="yellow"/>
              </w:rPr>
            </w:pPr>
          </w:p>
          <w:p w14:paraId="6DE3C32E" w14:textId="77777777" w:rsidR="00115EE2" w:rsidRPr="00105E93" w:rsidRDefault="00115EE2" w:rsidP="00B72D69">
            <w:pPr>
              <w:pStyle w:val="ListParagraph"/>
              <w:numPr>
                <w:ilvl w:val="0"/>
                <w:numId w:val="6"/>
              </w:numPr>
              <w:tabs>
                <w:tab w:val="clear" w:pos="4405"/>
                <w:tab w:val="num" w:pos="317"/>
                <w:tab w:val="num" w:pos="351"/>
              </w:tabs>
              <w:spacing w:before="240" w:after="120"/>
              <w:ind w:right="-4219" w:hanging="4405"/>
              <w:rPr>
                <w:b/>
                <w:sz w:val="20"/>
              </w:rPr>
            </w:pPr>
            <w:r w:rsidRPr="00105E93">
              <w:rPr>
                <w:b/>
                <w:sz w:val="20"/>
              </w:rPr>
              <w:t>Gross Debt / Capital Financing Requirement Indicator</w:t>
            </w:r>
          </w:p>
          <w:tbl>
            <w:tblPr>
              <w:tblW w:w="9881" w:type="dxa"/>
              <w:tblLayout w:type="fixed"/>
              <w:tblCellMar>
                <w:left w:w="0" w:type="dxa"/>
                <w:right w:w="0" w:type="dxa"/>
              </w:tblCellMar>
              <w:tblLook w:val="04A0" w:firstRow="1" w:lastRow="0" w:firstColumn="1" w:lastColumn="0" w:noHBand="0" w:noVBand="1"/>
            </w:tblPr>
            <w:tblGrid>
              <w:gridCol w:w="3936"/>
              <w:gridCol w:w="1484"/>
              <w:gridCol w:w="1059"/>
              <w:gridCol w:w="1201"/>
              <w:gridCol w:w="2201"/>
            </w:tblGrid>
            <w:tr w:rsidR="00F575D9" w:rsidRPr="00EE7172" w14:paraId="7368D2AB" w14:textId="77777777" w:rsidTr="00F575D9">
              <w:tc>
                <w:tcPr>
                  <w:tcW w:w="3936" w:type="dxa"/>
                  <w:tcMar>
                    <w:top w:w="0" w:type="dxa"/>
                    <w:left w:w="108" w:type="dxa"/>
                    <w:bottom w:w="0" w:type="dxa"/>
                    <w:right w:w="108" w:type="dxa"/>
                  </w:tcMar>
                </w:tcPr>
                <w:p w14:paraId="49073736" w14:textId="77777777" w:rsidR="00F575D9" w:rsidRPr="00105E93" w:rsidRDefault="00F575D9" w:rsidP="00115EE2">
                  <w:pPr>
                    <w:rPr>
                      <w:rFonts w:eastAsia="Calibri" w:cs="Arial"/>
                      <w:bCs/>
                      <w:sz w:val="20"/>
                      <w:u w:val="single"/>
                    </w:rPr>
                  </w:pPr>
                </w:p>
              </w:tc>
              <w:tc>
                <w:tcPr>
                  <w:tcW w:w="1484" w:type="dxa"/>
                  <w:tcMar>
                    <w:top w:w="0" w:type="dxa"/>
                    <w:left w:w="108" w:type="dxa"/>
                    <w:bottom w:w="0" w:type="dxa"/>
                    <w:right w:w="108" w:type="dxa"/>
                  </w:tcMar>
                  <w:hideMark/>
                </w:tcPr>
                <w:p w14:paraId="34DDE9E9" w14:textId="76AC27B5" w:rsidR="00F575D9" w:rsidRPr="00105E93" w:rsidRDefault="00F757CA" w:rsidP="00D36D4D">
                  <w:pPr>
                    <w:jc w:val="center"/>
                    <w:rPr>
                      <w:rFonts w:eastAsia="Calibri" w:cs="Arial"/>
                      <w:bCs/>
                      <w:sz w:val="20"/>
                      <w:u w:val="single"/>
                    </w:rPr>
                  </w:pPr>
                  <w:r w:rsidRPr="00105E93">
                    <w:rPr>
                      <w:bCs/>
                      <w:sz w:val="20"/>
                      <w:u w:val="single"/>
                    </w:rPr>
                    <w:t>20</w:t>
                  </w:r>
                  <w:r>
                    <w:rPr>
                      <w:bCs/>
                      <w:sz w:val="20"/>
                      <w:u w:val="single"/>
                    </w:rPr>
                    <w:t>20</w:t>
                  </w:r>
                  <w:r w:rsidR="005C4EC4" w:rsidRPr="00105E93">
                    <w:rPr>
                      <w:bCs/>
                      <w:sz w:val="20"/>
                      <w:u w:val="single"/>
                    </w:rPr>
                    <w:t>/</w:t>
                  </w:r>
                  <w:r w:rsidRPr="00105E93">
                    <w:rPr>
                      <w:bCs/>
                      <w:sz w:val="20"/>
                      <w:u w:val="single"/>
                    </w:rPr>
                    <w:t>2</w:t>
                  </w:r>
                  <w:r>
                    <w:rPr>
                      <w:bCs/>
                      <w:sz w:val="20"/>
                      <w:u w:val="single"/>
                    </w:rPr>
                    <w:t>1</w:t>
                  </w:r>
                  <w:r w:rsidRPr="00105E93">
                    <w:rPr>
                      <w:bCs/>
                      <w:sz w:val="20"/>
                      <w:u w:val="single"/>
                    </w:rPr>
                    <w:t xml:space="preserve"> </w:t>
                  </w:r>
                  <w:r w:rsidR="005C4EC4" w:rsidRPr="00105E93">
                    <w:rPr>
                      <w:bCs/>
                      <w:sz w:val="20"/>
                      <w:u w:val="single"/>
                    </w:rPr>
                    <w:t>(Rev)</w:t>
                  </w:r>
                </w:p>
              </w:tc>
              <w:tc>
                <w:tcPr>
                  <w:tcW w:w="1059" w:type="dxa"/>
                  <w:tcMar>
                    <w:top w:w="0" w:type="dxa"/>
                    <w:left w:w="108" w:type="dxa"/>
                    <w:bottom w:w="0" w:type="dxa"/>
                    <w:right w:w="108" w:type="dxa"/>
                  </w:tcMar>
                  <w:hideMark/>
                </w:tcPr>
                <w:p w14:paraId="40635A93" w14:textId="7720A8D0" w:rsidR="00F575D9" w:rsidRPr="00105E93" w:rsidRDefault="00F757CA" w:rsidP="00D36D4D">
                  <w:pPr>
                    <w:jc w:val="center"/>
                    <w:rPr>
                      <w:rFonts w:eastAsia="Calibri" w:cs="Arial"/>
                      <w:bCs/>
                      <w:sz w:val="20"/>
                      <w:u w:val="single"/>
                    </w:rPr>
                  </w:pPr>
                  <w:r w:rsidRPr="00105E93">
                    <w:rPr>
                      <w:bCs/>
                      <w:sz w:val="20"/>
                      <w:u w:val="single"/>
                    </w:rPr>
                    <w:t>202</w:t>
                  </w:r>
                  <w:r>
                    <w:rPr>
                      <w:bCs/>
                      <w:sz w:val="20"/>
                      <w:u w:val="single"/>
                    </w:rPr>
                    <w:t>1</w:t>
                  </w:r>
                  <w:r w:rsidR="00F575D9" w:rsidRPr="00105E93">
                    <w:rPr>
                      <w:bCs/>
                      <w:sz w:val="20"/>
                      <w:u w:val="single"/>
                    </w:rPr>
                    <w:t>/</w:t>
                  </w:r>
                  <w:r w:rsidRPr="00105E93">
                    <w:rPr>
                      <w:bCs/>
                      <w:sz w:val="20"/>
                      <w:u w:val="single"/>
                    </w:rPr>
                    <w:t>2</w:t>
                  </w:r>
                  <w:r>
                    <w:rPr>
                      <w:bCs/>
                      <w:sz w:val="20"/>
                      <w:u w:val="single"/>
                    </w:rPr>
                    <w:t>2</w:t>
                  </w:r>
                </w:p>
              </w:tc>
              <w:tc>
                <w:tcPr>
                  <w:tcW w:w="1201" w:type="dxa"/>
                  <w:tcMar>
                    <w:top w:w="0" w:type="dxa"/>
                    <w:left w:w="108" w:type="dxa"/>
                    <w:bottom w:w="0" w:type="dxa"/>
                    <w:right w:w="108" w:type="dxa"/>
                  </w:tcMar>
                  <w:hideMark/>
                </w:tcPr>
                <w:p w14:paraId="3E968574" w14:textId="4D7A9612" w:rsidR="00F575D9" w:rsidRPr="00105E93" w:rsidRDefault="00F757CA" w:rsidP="00D36D4D">
                  <w:pPr>
                    <w:jc w:val="center"/>
                    <w:rPr>
                      <w:rFonts w:eastAsia="Calibri" w:cs="Arial"/>
                      <w:bCs/>
                      <w:sz w:val="20"/>
                      <w:u w:val="single"/>
                    </w:rPr>
                  </w:pPr>
                  <w:r w:rsidRPr="00105E93">
                    <w:rPr>
                      <w:bCs/>
                      <w:sz w:val="20"/>
                      <w:u w:val="single"/>
                    </w:rPr>
                    <w:t>202</w:t>
                  </w:r>
                  <w:r>
                    <w:rPr>
                      <w:bCs/>
                      <w:sz w:val="20"/>
                      <w:u w:val="single"/>
                    </w:rPr>
                    <w:t>2</w:t>
                  </w:r>
                  <w:r w:rsidR="00F575D9" w:rsidRPr="00105E93">
                    <w:rPr>
                      <w:bCs/>
                      <w:sz w:val="20"/>
                      <w:u w:val="single"/>
                    </w:rPr>
                    <w:t>/</w:t>
                  </w:r>
                  <w:r w:rsidRPr="00105E93">
                    <w:rPr>
                      <w:bCs/>
                      <w:sz w:val="20"/>
                      <w:u w:val="single"/>
                    </w:rPr>
                    <w:t>2</w:t>
                  </w:r>
                  <w:r>
                    <w:rPr>
                      <w:bCs/>
                      <w:sz w:val="20"/>
                      <w:u w:val="single"/>
                    </w:rPr>
                    <w:t>3</w:t>
                  </w:r>
                </w:p>
              </w:tc>
              <w:tc>
                <w:tcPr>
                  <w:tcW w:w="2201" w:type="dxa"/>
                  <w:vAlign w:val="center"/>
                </w:tcPr>
                <w:p w14:paraId="2F8A9AFE" w14:textId="2C45DF93" w:rsidR="00F575D9" w:rsidRPr="00105E93" w:rsidRDefault="00F757CA" w:rsidP="00D36D4D">
                  <w:pPr>
                    <w:rPr>
                      <w:bCs/>
                      <w:sz w:val="20"/>
                      <w:u w:val="single"/>
                    </w:rPr>
                  </w:pPr>
                  <w:r w:rsidRPr="00105E93">
                    <w:rPr>
                      <w:bCs/>
                      <w:sz w:val="20"/>
                      <w:u w:val="single"/>
                    </w:rPr>
                    <w:t>202</w:t>
                  </w:r>
                  <w:r>
                    <w:rPr>
                      <w:bCs/>
                      <w:sz w:val="20"/>
                      <w:u w:val="single"/>
                    </w:rPr>
                    <w:t>3</w:t>
                  </w:r>
                  <w:r w:rsidR="00F575D9" w:rsidRPr="00105E93">
                    <w:rPr>
                      <w:bCs/>
                      <w:sz w:val="20"/>
                      <w:u w:val="single"/>
                    </w:rPr>
                    <w:t>/</w:t>
                  </w:r>
                  <w:r w:rsidRPr="00105E93">
                    <w:rPr>
                      <w:bCs/>
                      <w:sz w:val="20"/>
                      <w:u w:val="single"/>
                    </w:rPr>
                    <w:t>2</w:t>
                  </w:r>
                  <w:r>
                    <w:rPr>
                      <w:bCs/>
                      <w:sz w:val="20"/>
                      <w:u w:val="single"/>
                    </w:rPr>
                    <w:t>4</w:t>
                  </w:r>
                </w:p>
              </w:tc>
            </w:tr>
            <w:tr w:rsidR="00F575D9" w:rsidRPr="00EE7172" w14:paraId="06C2839F" w14:textId="77777777" w:rsidTr="00F575D9">
              <w:tc>
                <w:tcPr>
                  <w:tcW w:w="3936" w:type="dxa"/>
                  <w:tcMar>
                    <w:top w:w="0" w:type="dxa"/>
                    <w:left w:w="108" w:type="dxa"/>
                    <w:bottom w:w="0" w:type="dxa"/>
                    <w:right w:w="108" w:type="dxa"/>
                  </w:tcMar>
                </w:tcPr>
                <w:p w14:paraId="1766E681" w14:textId="77777777" w:rsidR="00F575D9" w:rsidRPr="00105E93" w:rsidRDefault="00F575D9" w:rsidP="00115EE2">
                  <w:pPr>
                    <w:rPr>
                      <w:rFonts w:eastAsia="Calibri" w:cs="Arial"/>
                      <w:bCs/>
                      <w:sz w:val="20"/>
                      <w:u w:val="single"/>
                    </w:rPr>
                  </w:pPr>
                </w:p>
              </w:tc>
              <w:tc>
                <w:tcPr>
                  <w:tcW w:w="1484" w:type="dxa"/>
                  <w:tcMar>
                    <w:top w:w="0" w:type="dxa"/>
                    <w:left w:w="108" w:type="dxa"/>
                    <w:bottom w:w="0" w:type="dxa"/>
                    <w:right w:w="108" w:type="dxa"/>
                  </w:tcMar>
                  <w:hideMark/>
                </w:tcPr>
                <w:p w14:paraId="61A5AA6B" w14:textId="77777777" w:rsidR="00F575D9" w:rsidRPr="00105E93" w:rsidRDefault="00F575D9" w:rsidP="00115EE2">
                  <w:pPr>
                    <w:jc w:val="center"/>
                    <w:rPr>
                      <w:rFonts w:eastAsia="Calibri" w:cs="Arial"/>
                      <w:bCs/>
                      <w:sz w:val="20"/>
                      <w:u w:val="single"/>
                    </w:rPr>
                  </w:pPr>
                  <w:r w:rsidRPr="00105E93">
                    <w:rPr>
                      <w:bCs/>
                      <w:sz w:val="20"/>
                      <w:u w:val="single"/>
                    </w:rPr>
                    <w:t>£m</w:t>
                  </w:r>
                </w:p>
              </w:tc>
              <w:tc>
                <w:tcPr>
                  <w:tcW w:w="1059" w:type="dxa"/>
                  <w:tcMar>
                    <w:top w:w="0" w:type="dxa"/>
                    <w:left w:w="108" w:type="dxa"/>
                    <w:bottom w:w="0" w:type="dxa"/>
                    <w:right w:w="108" w:type="dxa"/>
                  </w:tcMar>
                  <w:hideMark/>
                </w:tcPr>
                <w:p w14:paraId="2B87B69F" w14:textId="77777777" w:rsidR="00F575D9" w:rsidRPr="00105E93" w:rsidRDefault="00F575D9" w:rsidP="00115EE2">
                  <w:pPr>
                    <w:jc w:val="center"/>
                    <w:rPr>
                      <w:rFonts w:eastAsia="Calibri" w:cs="Arial"/>
                      <w:bCs/>
                      <w:sz w:val="20"/>
                      <w:u w:val="single"/>
                    </w:rPr>
                  </w:pPr>
                  <w:r w:rsidRPr="00105E93">
                    <w:rPr>
                      <w:bCs/>
                      <w:sz w:val="20"/>
                      <w:u w:val="single"/>
                    </w:rPr>
                    <w:t>£m</w:t>
                  </w:r>
                </w:p>
              </w:tc>
              <w:tc>
                <w:tcPr>
                  <w:tcW w:w="1201" w:type="dxa"/>
                  <w:tcMar>
                    <w:top w:w="0" w:type="dxa"/>
                    <w:left w:w="108" w:type="dxa"/>
                    <w:bottom w:w="0" w:type="dxa"/>
                    <w:right w:w="108" w:type="dxa"/>
                  </w:tcMar>
                  <w:hideMark/>
                </w:tcPr>
                <w:p w14:paraId="1075ACE2" w14:textId="77777777" w:rsidR="00F575D9" w:rsidRPr="00105E93" w:rsidRDefault="00F575D9" w:rsidP="00115EE2">
                  <w:pPr>
                    <w:jc w:val="center"/>
                    <w:rPr>
                      <w:rFonts w:eastAsia="Calibri" w:cs="Arial"/>
                      <w:bCs/>
                      <w:sz w:val="20"/>
                      <w:u w:val="single"/>
                    </w:rPr>
                  </w:pPr>
                  <w:r w:rsidRPr="00105E93">
                    <w:rPr>
                      <w:bCs/>
                      <w:sz w:val="20"/>
                      <w:u w:val="single"/>
                    </w:rPr>
                    <w:t>£m</w:t>
                  </w:r>
                </w:p>
              </w:tc>
              <w:tc>
                <w:tcPr>
                  <w:tcW w:w="2201" w:type="dxa"/>
                  <w:vAlign w:val="center"/>
                </w:tcPr>
                <w:p w14:paraId="0D7619A5" w14:textId="77777777" w:rsidR="00F575D9" w:rsidRPr="00105E93" w:rsidRDefault="00F575D9" w:rsidP="00F575D9">
                  <w:pPr>
                    <w:rPr>
                      <w:bCs/>
                      <w:sz w:val="20"/>
                      <w:u w:val="single"/>
                    </w:rPr>
                  </w:pPr>
                  <w:r w:rsidRPr="00105E93">
                    <w:rPr>
                      <w:bCs/>
                      <w:sz w:val="20"/>
                      <w:u w:val="single"/>
                    </w:rPr>
                    <w:t xml:space="preserve">    £m</w:t>
                  </w:r>
                </w:p>
              </w:tc>
            </w:tr>
          </w:tbl>
          <w:p w14:paraId="2276D7A3" w14:textId="2F944BFA" w:rsidR="001700A8" w:rsidRPr="00105E93" w:rsidRDefault="001700A8" w:rsidP="003B2FEF">
            <w:pPr>
              <w:pStyle w:val="ListParagraph"/>
              <w:spacing w:before="240" w:after="120"/>
              <w:ind w:left="67" w:right="-4219" w:hanging="67"/>
              <w:rPr>
                <w:sz w:val="20"/>
              </w:rPr>
            </w:pPr>
            <w:r w:rsidRPr="00105E93">
              <w:rPr>
                <w:sz w:val="20"/>
              </w:rPr>
              <w:t xml:space="preserve">Capital Financing Requirement                              </w:t>
            </w:r>
            <w:r w:rsidR="00F757CA">
              <w:rPr>
                <w:sz w:val="20"/>
              </w:rPr>
              <w:t>70.588</w:t>
            </w:r>
            <w:r w:rsidRPr="00105E93">
              <w:rPr>
                <w:sz w:val="20"/>
              </w:rPr>
              <w:t xml:space="preserve">             </w:t>
            </w:r>
            <w:r w:rsidR="00F757CA">
              <w:rPr>
                <w:sz w:val="20"/>
              </w:rPr>
              <w:t>93.665     120.284       151.469</w:t>
            </w:r>
          </w:p>
          <w:p w14:paraId="218D393E" w14:textId="39EC2139" w:rsidR="001700A8" w:rsidRPr="00105E93" w:rsidRDefault="001700A8" w:rsidP="003B2FEF">
            <w:pPr>
              <w:pStyle w:val="ListParagraph"/>
              <w:spacing w:before="240" w:after="120"/>
              <w:ind w:left="67" w:right="-4219" w:hanging="67"/>
              <w:rPr>
                <w:sz w:val="20"/>
              </w:rPr>
            </w:pPr>
            <w:r w:rsidRPr="00105E93">
              <w:rPr>
                <w:sz w:val="20"/>
              </w:rPr>
              <w:t xml:space="preserve">Estimated Gross Debt                                          </w:t>
            </w:r>
            <w:r w:rsidR="00F757CA">
              <w:rPr>
                <w:sz w:val="20"/>
              </w:rPr>
              <w:t xml:space="preserve">   </w:t>
            </w:r>
            <w:r w:rsidR="00825828">
              <w:rPr>
                <w:sz w:val="20"/>
              </w:rPr>
              <w:t>84.442</w:t>
            </w:r>
            <w:r w:rsidR="00F757CA">
              <w:rPr>
                <w:sz w:val="20"/>
              </w:rPr>
              <w:t xml:space="preserve">            </w:t>
            </w:r>
            <w:r w:rsidR="00F757CA" w:rsidRPr="00105E93">
              <w:rPr>
                <w:sz w:val="20"/>
              </w:rPr>
              <w:t>9</w:t>
            </w:r>
            <w:r w:rsidR="00F757CA">
              <w:rPr>
                <w:sz w:val="20"/>
              </w:rPr>
              <w:t>3</w:t>
            </w:r>
            <w:r w:rsidRPr="00105E93">
              <w:rPr>
                <w:sz w:val="20"/>
              </w:rPr>
              <w:t>.000      120.</w:t>
            </w:r>
            <w:r w:rsidR="00F757CA">
              <w:rPr>
                <w:sz w:val="20"/>
              </w:rPr>
              <w:t>0</w:t>
            </w:r>
            <w:r w:rsidRPr="00105E93">
              <w:rPr>
                <w:sz w:val="20"/>
              </w:rPr>
              <w:t xml:space="preserve">00      </w:t>
            </w:r>
            <w:r w:rsidR="00F757CA" w:rsidRPr="00105E93">
              <w:rPr>
                <w:sz w:val="20"/>
              </w:rPr>
              <w:t>1</w:t>
            </w:r>
            <w:r w:rsidR="00F757CA">
              <w:rPr>
                <w:sz w:val="20"/>
              </w:rPr>
              <w:t>5</w:t>
            </w:r>
            <w:r w:rsidR="00F757CA" w:rsidRPr="00105E93">
              <w:rPr>
                <w:sz w:val="20"/>
              </w:rPr>
              <w:t>0</w:t>
            </w:r>
            <w:r w:rsidRPr="00105E93">
              <w:rPr>
                <w:sz w:val="20"/>
              </w:rPr>
              <w:t>.000</w:t>
            </w:r>
          </w:p>
          <w:p w14:paraId="6EDB896E" w14:textId="77777777" w:rsidR="00115EE2" w:rsidRPr="00105E93" w:rsidRDefault="00115EE2" w:rsidP="00BF4886">
            <w:pPr>
              <w:pStyle w:val="ListParagraph"/>
              <w:spacing w:before="240" w:after="120"/>
              <w:ind w:left="67" w:right="-4219" w:hanging="67"/>
              <w:rPr>
                <w:sz w:val="20"/>
              </w:rPr>
            </w:pPr>
          </w:p>
          <w:p w14:paraId="6008F077" w14:textId="509942B3" w:rsidR="001700A8" w:rsidRDefault="001700A8" w:rsidP="00BF4886">
            <w:pPr>
              <w:pStyle w:val="ListParagraph"/>
              <w:spacing w:before="240" w:after="120"/>
              <w:ind w:left="67" w:right="-4219" w:hanging="67"/>
              <w:rPr>
                <w:sz w:val="20"/>
              </w:rPr>
            </w:pPr>
            <w:r w:rsidRPr="00105E93">
              <w:rPr>
                <w:sz w:val="20"/>
              </w:rPr>
              <w:t>Debt to CFR (</w:t>
            </w:r>
            <w:proofErr w:type="gramStart"/>
            <w:r w:rsidRPr="00105E93">
              <w:rPr>
                <w:sz w:val="20"/>
              </w:rPr>
              <w:t xml:space="preserve">%)   </w:t>
            </w:r>
            <w:proofErr w:type="gramEnd"/>
            <w:r w:rsidRPr="00105E93">
              <w:rPr>
                <w:sz w:val="20"/>
              </w:rPr>
              <w:t xml:space="preserve">                                                    </w:t>
            </w:r>
            <w:r w:rsidR="00825828">
              <w:rPr>
                <w:sz w:val="20"/>
              </w:rPr>
              <w:t>119</w:t>
            </w:r>
            <w:r w:rsidRPr="00105E93">
              <w:rPr>
                <w:sz w:val="20"/>
              </w:rPr>
              <w:t xml:space="preserve">                   99               </w:t>
            </w:r>
            <w:r w:rsidR="00F757CA" w:rsidRPr="00105E93">
              <w:rPr>
                <w:sz w:val="20"/>
              </w:rPr>
              <w:t>9</w:t>
            </w:r>
            <w:r w:rsidR="00F757CA">
              <w:rPr>
                <w:sz w:val="20"/>
              </w:rPr>
              <w:t>9</w:t>
            </w:r>
            <w:r w:rsidR="00F757CA" w:rsidRPr="00105E93">
              <w:rPr>
                <w:sz w:val="20"/>
              </w:rPr>
              <w:t xml:space="preserve">              </w:t>
            </w:r>
            <w:r w:rsidRPr="00105E93">
              <w:rPr>
                <w:sz w:val="20"/>
              </w:rPr>
              <w:t>99</w:t>
            </w:r>
          </w:p>
          <w:p w14:paraId="2DEC2B55" w14:textId="5847351E" w:rsidR="00825828" w:rsidRDefault="00825828" w:rsidP="00BF4886">
            <w:pPr>
              <w:pStyle w:val="ListParagraph"/>
              <w:spacing w:before="240" w:after="120"/>
              <w:ind w:left="67" w:right="-4219" w:hanging="67"/>
              <w:rPr>
                <w:sz w:val="20"/>
              </w:rPr>
            </w:pPr>
          </w:p>
          <w:p w14:paraId="3ECDA68D" w14:textId="5A7D8738" w:rsidR="00825828" w:rsidRPr="00105E93" w:rsidRDefault="00825828" w:rsidP="00BF4886">
            <w:pPr>
              <w:pStyle w:val="ListParagraph"/>
              <w:spacing w:before="240" w:after="120"/>
              <w:ind w:left="67" w:right="-4219" w:hanging="67"/>
              <w:rPr>
                <w:sz w:val="20"/>
              </w:rPr>
            </w:pPr>
            <w:r>
              <w:rPr>
                <w:sz w:val="20"/>
              </w:rPr>
              <w:t>The debt exceeds the CFR at 31.3.21 as some borrowing for prior years has been undertaken. This is in with the.</w:t>
            </w:r>
          </w:p>
          <w:p w14:paraId="1DF3ACA1" w14:textId="5CF913E8" w:rsidR="001700A8" w:rsidRPr="00DD0B85" w:rsidRDefault="00825828" w:rsidP="00BF4886">
            <w:pPr>
              <w:pStyle w:val="ListParagraph"/>
              <w:spacing w:before="240" w:after="120"/>
              <w:ind w:left="67" w:right="-4219" w:hanging="67"/>
              <w:rPr>
                <w:bCs/>
                <w:sz w:val="20"/>
                <w:highlight w:val="yellow"/>
              </w:rPr>
            </w:pPr>
            <w:r w:rsidRPr="00DD0B85">
              <w:rPr>
                <w:bCs/>
                <w:sz w:val="20"/>
              </w:rPr>
              <w:t>Code.</w:t>
            </w:r>
          </w:p>
        </w:tc>
      </w:tr>
      <w:tr w:rsidR="00115EE2" w:rsidRPr="00541497" w14:paraId="45B0F3FA" w14:textId="77777777" w:rsidTr="00BF4886">
        <w:trPr>
          <w:gridAfter w:val="1"/>
          <w:wAfter w:w="1560" w:type="dxa"/>
        </w:trPr>
        <w:tc>
          <w:tcPr>
            <w:tcW w:w="4961" w:type="dxa"/>
            <w:gridSpan w:val="3"/>
          </w:tcPr>
          <w:p w14:paraId="2E1E3DCD" w14:textId="77777777" w:rsidR="00115EE2" w:rsidRPr="00656884" w:rsidRDefault="00115EE2" w:rsidP="00115EE2">
            <w:pPr>
              <w:numPr>
                <w:ilvl w:val="0"/>
                <w:numId w:val="6"/>
              </w:numPr>
              <w:tabs>
                <w:tab w:val="num" w:pos="342"/>
              </w:tabs>
              <w:spacing w:before="240" w:after="120"/>
              <w:ind w:left="342" w:hanging="342"/>
              <w:rPr>
                <w:b/>
                <w:sz w:val="20"/>
              </w:rPr>
            </w:pPr>
            <w:r w:rsidRPr="00656884">
              <w:rPr>
                <w:b/>
                <w:sz w:val="20"/>
              </w:rPr>
              <w:t>Upper limit for fixed interest rate exposure</w:t>
            </w:r>
          </w:p>
        </w:tc>
        <w:tc>
          <w:tcPr>
            <w:tcW w:w="1146" w:type="dxa"/>
          </w:tcPr>
          <w:p w14:paraId="59359BD7" w14:textId="77777777" w:rsidR="00115EE2" w:rsidRPr="0052569D" w:rsidRDefault="00115EE2" w:rsidP="00115EE2">
            <w:pPr>
              <w:tabs>
                <w:tab w:val="decimal" w:pos="792"/>
              </w:tabs>
              <w:spacing w:before="240" w:after="120"/>
              <w:rPr>
                <w:caps/>
                <w:sz w:val="20"/>
              </w:rPr>
            </w:pPr>
          </w:p>
        </w:tc>
        <w:tc>
          <w:tcPr>
            <w:tcW w:w="992" w:type="dxa"/>
          </w:tcPr>
          <w:p w14:paraId="78A8740C" w14:textId="77777777" w:rsidR="00115EE2" w:rsidRPr="0052569D" w:rsidRDefault="00115EE2" w:rsidP="00115EE2">
            <w:pPr>
              <w:tabs>
                <w:tab w:val="decimal" w:pos="792"/>
              </w:tabs>
              <w:spacing w:before="240" w:after="120"/>
              <w:rPr>
                <w:caps/>
                <w:sz w:val="20"/>
              </w:rPr>
            </w:pPr>
          </w:p>
        </w:tc>
        <w:tc>
          <w:tcPr>
            <w:tcW w:w="992" w:type="dxa"/>
            <w:gridSpan w:val="2"/>
          </w:tcPr>
          <w:p w14:paraId="7178F49B" w14:textId="77777777" w:rsidR="00115EE2" w:rsidRPr="0052569D" w:rsidRDefault="00115EE2" w:rsidP="00115EE2">
            <w:pPr>
              <w:tabs>
                <w:tab w:val="decimal" w:pos="792"/>
              </w:tabs>
              <w:spacing w:before="240" w:after="120"/>
              <w:rPr>
                <w:sz w:val="20"/>
              </w:rPr>
            </w:pPr>
          </w:p>
        </w:tc>
        <w:tc>
          <w:tcPr>
            <w:tcW w:w="1014" w:type="dxa"/>
          </w:tcPr>
          <w:p w14:paraId="484CCF13" w14:textId="77777777" w:rsidR="00115EE2" w:rsidRPr="0052569D" w:rsidRDefault="00115EE2" w:rsidP="00115EE2">
            <w:pPr>
              <w:tabs>
                <w:tab w:val="decimal" w:pos="792"/>
              </w:tabs>
              <w:spacing w:before="240" w:after="120"/>
              <w:rPr>
                <w:sz w:val="20"/>
              </w:rPr>
            </w:pPr>
          </w:p>
        </w:tc>
      </w:tr>
      <w:tr w:rsidR="00115EE2" w:rsidRPr="00541497" w14:paraId="51E07525" w14:textId="77777777" w:rsidTr="00BF4886">
        <w:trPr>
          <w:gridAfter w:val="1"/>
          <w:wAfter w:w="1560" w:type="dxa"/>
        </w:trPr>
        <w:tc>
          <w:tcPr>
            <w:tcW w:w="4961" w:type="dxa"/>
            <w:gridSpan w:val="3"/>
          </w:tcPr>
          <w:p w14:paraId="308CA320" w14:textId="77777777" w:rsidR="00115EE2" w:rsidRPr="00656884" w:rsidRDefault="00115EE2" w:rsidP="00115EE2">
            <w:pPr>
              <w:tabs>
                <w:tab w:val="left" w:pos="342"/>
              </w:tabs>
              <w:spacing w:after="120"/>
              <w:ind w:left="342"/>
              <w:rPr>
                <w:sz w:val="20"/>
              </w:rPr>
            </w:pPr>
            <w:r w:rsidRPr="00656884">
              <w:rPr>
                <w:sz w:val="20"/>
              </w:rPr>
              <w:t>Upper limit of borrowing at fixed rates</w:t>
            </w:r>
          </w:p>
        </w:tc>
        <w:tc>
          <w:tcPr>
            <w:tcW w:w="1146" w:type="dxa"/>
            <w:vAlign w:val="center"/>
          </w:tcPr>
          <w:p w14:paraId="1E5ACC48" w14:textId="77777777" w:rsidR="00115EE2" w:rsidRPr="0052569D" w:rsidRDefault="00115EE2" w:rsidP="00115EE2">
            <w:pPr>
              <w:spacing w:after="120"/>
              <w:jc w:val="center"/>
              <w:rPr>
                <w:caps/>
                <w:sz w:val="20"/>
              </w:rPr>
            </w:pPr>
            <w:r w:rsidRPr="0052569D">
              <w:rPr>
                <w:caps/>
                <w:sz w:val="20"/>
              </w:rPr>
              <w:t>100%</w:t>
            </w:r>
          </w:p>
        </w:tc>
        <w:tc>
          <w:tcPr>
            <w:tcW w:w="992" w:type="dxa"/>
            <w:vAlign w:val="center"/>
          </w:tcPr>
          <w:p w14:paraId="1C5BAED7" w14:textId="77777777" w:rsidR="00115EE2" w:rsidRPr="0052569D" w:rsidRDefault="00115EE2" w:rsidP="00115EE2">
            <w:pPr>
              <w:spacing w:after="120"/>
              <w:jc w:val="center"/>
              <w:rPr>
                <w:caps/>
                <w:sz w:val="20"/>
              </w:rPr>
            </w:pPr>
            <w:r w:rsidRPr="0052569D">
              <w:rPr>
                <w:caps/>
                <w:sz w:val="20"/>
              </w:rPr>
              <w:t>100%</w:t>
            </w:r>
          </w:p>
        </w:tc>
        <w:tc>
          <w:tcPr>
            <w:tcW w:w="992" w:type="dxa"/>
            <w:gridSpan w:val="2"/>
            <w:vAlign w:val="center"/>
          </w:tcPr>
          <w:p w14:paraId="044F28EE" w14:textId="77777777" w:rsidR="00115EE2" w:rsidRPr="0052569D" w:rsidRDefault="00115EE2" w:rsidP="00115EE2">
            <w:pPr>
              <w:spacing w:after="120"/>
              <w:jc w:val="center"/>
              <w:rPr>
                <w:sz w:val="20"/>
              </w:rPr>
            </w:pPr>
            <w:r w:rsidRPr="0052569D">
              <w:rPr>
                <w:caps/>
                <w:sz w:val="20"/>
              </w:rPr>
              <w:t>100%</w:t>
            </w:r>
          </w:p>
        </w:tc>
        <w:tc>
          <w:tcPr>
            <w:tcW w:w="1014" w:type="dxa"/>
          </w:tcPr>
          <w:p w14:paraId="6BE1D620" w14:textId="77777777" w:rsidR="00115EE2" w:rsidRPr="0052569D" w:rsidRDefault="00115EE2" w:rsidP="00115EE2">
            <w:pPr>
              <w:spacing w:after="120"/>
              <w:jc w:val="center"/>
              <w:rPr>
                <w:caps/>
                <w:sz w:val="20"/>
              </w:rPr>
            </w:pPr>
            <w:r w:rsidRPr="0052569D">
              <w:rPr>
                <w:caps/>
                <w:sz w:val="20"/>
              </w:rPr>
              <w:t>100%</w:t>
            </w:r>
          </w:p>
        </w:tc>
      </w:tr>
      <w:tr w:rsidR="00115EE2" w:rsidRPr="00541497" w14:paraId="2A2E401E" w14:textId="77777777" w:rsidTr="00BF4886">
        <w:trPr>
          <w:gridAfter w:val="1"/>
          <w:wAfter w:w="1560" w:type="dxa"/>
        </w:trPr>
        <w:tc>
          <w:tcPr>
            <w:tcW w:w="4961" w:type="dxa"/>
            <w:gridSpan w:val="3"/>
          </w:tcPr>
          <w:p w14:paraId="2AFAFF75" w14:textId="77777777" w:rsidR="00115EE2" w:rsidRPr="00656884" w:rsidRDefault="00115EE2" w:rsidP="00115EE2">
            <w:pPr>
              <w:tabs>
                <w:tab w:val="left" w:pos="342"/>
              </w:tabs>
              <w:spacing w:after="120"/>
              <w:ind w:left="342"/>
              <w:rPr>
                <w:sz w:val="20"/>
              </w:rPr>
            </w:pPr>
            <w:r w:rsidRPr="00656884">
              <w:rPr>
                <w:sz w:val="20"/>
              </w:rPr>
              <w:t>Upper limit of investments at fixed rates</w:t>
            </w:r>
          </w:p>
        </w:tc>
        <w:tc>
          <w:tcPr>
            <w:tcW w:w="1146" w:type="dxa"/>
            <w:vAlign w:val="center"/>
          </w:tcPr>
          <w:p w14:paraId="7A26FE5F" w14:textId="77777777" w:rsidR="00115EE2" w:rsidRPr="0052569D" w:rsidRDefault="00115EE2" w:rsidP="00115EE2">
            <w:pPr>
              <w:spacing w:after="120"/>
              <w:jc w:val="center"/>
              <w:rPr>
                <w:caps/>
                <w:sz w:val="20"/>
              </w:rPr>
            </w:pPr>
            <w:r w:rsidRPr="0052569D">
              <w:rPr>
                <w:caps/>
                <w:sz w:val="20"/>
              </w:rPr>
              <w:t>100%</w:t>
            </w:r>
          </w:p>
        </w:tc>
        <w:tc>
          <w:tcPr>
            <w:tcW w:w="992" w:type="dxa"/>
            <w:vAlign w:val="center"/>
          </w:tcPr>
          <w:p w14:paraId="44F97EAB" w14:textId="77777777" w:rsidR="00115EE2" w:rsidRPr="0052569D" w:rsidRDefault="00115EE2" w:rsidP="00115EE2">
            <w:pPr>
              <w:spacing w:after="120"/>
              <w:jc w:val="center"/>
              <w:rPr>
                <w:caps/>
                <w:sz w:val="20"/>
              </w:rPr>
            </w:pPr>
            <w:r w:rsidRPr="0052569D">
              <w:rPr>
                <w:caps/>
                <w:sz w:val="20"/>
              </w:rPr>
              <w:t>100%</w:t>
            </w:r>
          </w:p>
        </w:tc>
        <w:tc>
          <w:tcPr>
            <w:tcW w:w="992" w:type="dxa"/>
            <w:gridSpan w:val="2"/>
            <w:vAlign w:val="center"/>
          </w:tcPr>
          <w:p w14:paraId="327D3F36" w14:textId="77777777" w:rsidR="00115EE2" w:rsidRPr="0052569D" w:rsidRDefault="00115EE2" w:rsidP="00115EE2">
            <w:pPr>
              <w:spacing w:after="120"/>
              <w:jc w:val="center"/>
              <w:rPr>
                <w:caps/>
                <w:sz w:val="20"/>
              </w:rPr>
            </w:pPr>
            <w:r w:rsidRPr="0052569D">
              <w:rPr>
                <w:caps/>
                <w:sz w:val="20"/>
              </w:rPr>
              <w:t>100%</w:t>
            </w:r>
          </w:p>
        </w:tc>
        <w:tc>
          <w:tcPr>
            <w:tcW w:w="1014" w:type="dxa"/>
          </w:tcPr>
          <w:p w14:paraId="09EED356" w14:textId="77777777" w:rsidR="00115EE2" w:rsidRPr="0052569D" w:rsidRDefault="00115EE2" w:rsidP="00115EE2">
            <w:pPr>
              <w:spacing w:after="120"/>
              <w:jc w:val="center"/>
              <w:rPr>
                <w:caps/>
                <w:sz w:val="20"/>
              </w:rPr>
            </w:pPr>
            <w:r w:rsidRPr="0052569D">
              <w:rPr>
                <w:caps/>
                <w:sz w:val="20"/>
              </w:rPr>
              <w:t>100%</w:t>
            </w:r>
          </w:p>
        </w:tc>
      </w:tr>
      <w:tr w:rsidR="00115EE2" w:rsidRPr="00541497" w14:paraId="6FAC9428" w14:textId="77777777" w:rsidTr="00BF4886">
        <w:trPr>
          <w:gridAfter w:val="1"/>
          <w:wAfter w:w="1560" w:type="dxa"/>
          <w:trHeight w:val="480"/>
        </w:trPr>
        <w:tc>
          <w:tcPr>
            <w:tcW w:w="4961" w:type="dxa"/>
            <w:gridSpan w:val="3"/>
          </w:tcPr>
          <w:p w14:paraId="4B5E8960" w14:textId="77777777" w:rsidR="00115EE2" w:rsidRPr="0052569D" w:rsidRDefault="00115EE2" w:rsidP="00115EE2">
            <w:pPr>
              <w:tabs>
                <w:tab w:val="left" w:pos="342"/>
              </w:tabs>
              <w:spacing w:after="120"/>
              <w:ind w:left="342"/>
              <w:rPr>
                <w:sz w:val="20"/>
                <w:highlight w:val="yellow"/>
              </w:rPr>
            </w:pPr>
          </w:p>
        </w:tc>
        <w:tc>
          <w:tcPr>
            <w:tcW w:w="1146" w:type="dxa"/>
            <w:vAlign w:val="center"/>
          </w:tcPr>
          <w:p w14:paraId="04C916D9" w14:textId="77777777" w:rsidR="00115EE2" w:rsidRPr="0052569D" w:rsidRDefault="00115EE2" w:rsidP="00115EE2">
            <w:pPr>
              <w:spacing w:after="120"/>
              <w:jc w:val="center"/>
              <w:rPr>
                <w:caps/>
                <w:sz w:val="20"/>
                <w:highlight w:val="yellow"/>
              </w:rPr>
            </w:pPr>
          </w:p>
        </w:tc>
        <w:tc>
          <w:tcPr>
            <w:tcW w:w="992" w:type="dxa"/>
            <w:vAlign w:val="center"/>
          </w:tcPr>
          <w:p w14:paraId="317E36AF" w14:textId="77777777" w:rsidR="00115EE2" w:rsidRPr="0052569D" w:rsidRDefault="00115EE2" w:rsidP="00115EE2">
            <w:pPr>
              <w:spacing w:after="120"/>
              <w:jc w:val="center"/>
              <w:rPr>
                <w:caps/>
                <w:sz w:val="20"/>
                <w:highlight w:val="yellow"/>
              </w:rPr>
            </w:pPr>
          </w:p>
        </w:tc>
        <w:tc>
          <w:tcPr>
            <w:tcW w:w="992" w:type="dxa"/>
            <w:gridSpan w:val="2"/>
            <w:vAlign w:val="center"/>
          </w:tcPr>
          <w:p w14:paraId="5204A5B9" w14:textId="77777777" w:rsidR="00115EE2" w:rsidRPr="0052569D" w:rsidRDefault="00115EE2" w:rsidP="00115EE2">
            <w:pPr>
              <w:spacing w:after="120"/>
              <w:jc w:val="center"/>
              <w:rPr>
                <w:caps/>
                <w:sz w:val="20"/>
                <w:highlight w:val="yellow"/>
              </w:rPr>
            </w:pPr>
          </w:p>
        </w:tc>
        <w:tc>
          <w:tcPr>
            <w:tcW w:w="1014" w:type="dxa"/>
          </w:tcPr>
          <w:p w14:paraId="1756955B" w14:textId="77777777" w:rsidR="00115EE2" w:rsidRPr="0052569D" w:rsidRDefault="00115EE2" w:rsidP="00115EE2">
            <w:pPr>
              <w:spacing w:after="120"/>
              <w:jc w:val="center"/>
              <w:rPr>
                <w:caps/>
                <w:sz w:val="20"/>
                <w:highlight w:val="yellow"/>
              </w:rPr>
            </w:pPr>
          </w:p>
        </w:tc>
      </w:tr>
      <w:tr w:rsidR="00115EE2" w:rsidRPr="00541497" w14:paraId="23EDBFA1" w14:textId="77777777" w:rsidTr="00BF4886">
        <w:trPr>
          <w:gridAfter w:val="1"/>
          <w:wAfter w:w="1560" w:type="dxa"/>
        </w:trPr>
        <w:tc>
          <w:tcPr>
            <w:tcW w:w="4961" w:type="dxa"/>
            <w:gridSpan w:val="3"/>
          </w:tcPr>
          <w:p w14:paraId="4ABCA30A" w14:textId="77777777" w:rsidR="00115EE2" w:rsidRPr="00656884" w:rsidRDefault="00F90F43" w:rsidP="00115EE2">
            <w:pPr>
              <w:numPr>
                <w:ilvl w:val="0"/>
                <w:numId w:val="6"/>
              </w:numPr>
              <w:tabs>
                <w:tab w:val="num" w:pos="342"/>
              </w:tabs>
              <w:spacing w:after="120"/>
              <w:ind w:left="342" w:hanging="342"/>
              <w:rPr>
                <w:b/>
                <w:sz w:val="20"/>
              </w:rPr>
            </w:pPr>
            <w:r w:rsidRPr="00656884">
              <w:rPr>
                <w:b/>
                <w:sz w:val="20"/>
              </w:rPr>
              <w:t>Impact 1% rate rise limit</w:t>
            </w:r>
          </w:p>
        </w:tc>
        <w:tc>
          <w:tcPr>
            <w:tcW w:w="1146" w:type="dxa"/>
          </w:tcPr>
          <w:p w14:paraId="41C78EAC" w14:textId="199920E2" w:rsidR="00115EE2" w:rsidRPr="00656884" w:rsidRDefault="00751F20" w:rsidP="00656884">
            <w:pPr>
              <w:tabs>
                <w:tab w:val="decimal" w:pos="792"/>
              </w:tabs>
              <w:spacing w:after="120"/>
              <w:rPr>
                <w:caps/>
                <w:sz w:val="20"/>
              </w:rPr>
            </w:pPr>
            <w:r w:rsidRPr="00656884">
              <w:rPr>
                <w:caps/>
                <w:sz w:val="20"/>
              </w:rPr>
              <w:t>£</w:t>
            </w:r>
            <w:r w:rsidR="00656884">
              <w:rPr>
                <w:caps/>
                <w:sz w:val="20"/>
              </w:rPr>
              <w:t>10</w:t>
            </w:r>
            <w:r w:rsidR="00BF4886" w:rsidRPr="00656884">
              <w:rPr>
                <w:caps/>
                <w:sz w:val="20"/>
              </w:rPr>
              <w:t>m</w:t>
            </w:r>
          </w:p>
        </w:tc>
        <w:tc>
          <w:tcPr>
            <w:tcW w:w="992" w:type="dxa"/>
          </w:tcPr>
          <w:p w14:paraId="1FB946BC" w14:textId="228F4330" w:rsidR="00115EE2" w:rsidRPr="00656884" w:rsidRDefault="00F90F43" w:rsidP="00656884">
            <w:pPr>
              <w:tabs>
                <w:tab w:val="decimal" w:pos="792"/>
              </w:tabs>
              <w:spacing w:after="120"/>
              <w:rPr>
                <w:caps/>
                <w:sz w:val="20"/>
              </w:rPr>
            </w:pPr>
            <w:r w:rsidRPr="00656884">
              <w:rPr>
                <w:caps/>
                <w:sz w:val="20"/>
              </w:rPr>
              <w:t>£</w:t>
            </w:r>
            <w:r w:rsidR="00656884">
              <w:rPr>
                <w:caps/>
                <w:sz w:val="20"/>
              </w:rPr>
              <w:t>10</w:t>
            </w:r>
            <w:r w:rsidRPr="00656884">
              <w:rPr>
                <w:caps/>
                <w:sz w:val="20"/>
              </w:rPr>
              <w:t>m</w:t>
            </w:r>
          </w:p>
        </w:tc>
        <w:tc>
          <w:tcPr>
            <w:tcW w:w="992" w:type="dxa"/>
            <w:gridSpan w:val="2"/>
          </w:tcPr>
          <w:p w14:paraId="21DB6381" w14:textId="6D114E0B" w:rsidR="00115EE2" w:rsidRPr="00656884" w:rsidRDefault="00F90F43" w:rsidP="00656884">
            <w:pPr>
              <w:tabs>
                <w:tab w:val="decimal" w:pos="792"/>
              </w:tabs>
              <w:spacing w:after="120"/>
              <w:rPr>
                <w:sz w:val="20"/>
              </w:rPr>
            </w:pPr>
            <w:r w:rsidRPr="00656884">
              <w:rPr>
                <w:sz w:val="20"/>
              </w:rPr>
              <w:t>£</w:t>
            </w:r>
            <w:r w:rsidR="00656884">
              <w:rPr>
                <w:sz w:val="20"/>
              </w:rPr>
              <w:t>10</w:t>
            </w:r>
            <w:r w:rsidRPr="00656884">
              <w:rPr>
                <w:sz w:val="20"/>
              </w:rPr>
              <w:t>m</w:t>
            </w:r>
          </w:p>
        </w:tc>
        <w:tc>
          <w:tcPr>
            <w:tcW w:w="1014" w:type="dxa"/>
          </w:tcPr>
          <w:p w14:paraId="78851118" w14:textId="77777777" w:rsidR="00115EE2" w:rsidRPr="0052569D" w:rsidRDefault="00115EE2" w:rsidP="00115EE2">
            <w:pPr>
              <w:tabs>
                <w:tab w:val="decimal" w:pos="792"/>
              </w:tabs>
              <w:spacing w:after="120"/>
              <w:rPr>
                <w:sz w:val="20"/>
              </w:rPr>
            </w:pPr>
          </w:p>
        </w:tc>
      </w:tr>
      <w:tr w:rsidR="00115EE2" w:rsidRPr="00541497" w14:paraId="1605B366" w14:textId="77777777" w:rsidTr="00BF4886">
        <w:trPr>
          <w:gridAfter w:val="1"/>
          <w:wAfter w:w="1560" w:type="dxa"/>
        </w:trPr>
        <w:tc>
          <w:tcPr>
            <w:tcW w:w="4961" w:type="dxa"/>
            <w:gridSpan w:val="3"/>
          </w:tcPr>
          <w:p w14:paraId="6F83AAD6" w14:textId="77777777" w:rsidR="00115EE2" w:rsidRPr="0052569D" w:rsidRDefault="00115EE2" w:rsidP="00115EE2">
            <w:pPr>
              <w:tabs>
                <w:tab w:val="left" w:pos="342"/>
              </w:tabs>
              <w:spacing w:after="120"/>
              <w:ind w:left="342"/>
              <w:rPr>
                <w:sz w:val="20"/>
                <w:highlight w:val="yellow"/>
              </w:rPr>
            </w:pPr>
          </w:p>
        </w:tc>
        <w:tc>
          <w:tcPr>
            <w:tcW w:w="1146" w:type="dxa"/>
            <w:vAlign w:val="center"/>
          </w:tcPr>
          <w:p w14:paraId="293DD8F7" w14:textId="77777777" w:rsidR="00115EE2" w:rsidRPr="0052569D" w:rsidRDefault="00115EE2" w:rsidP="00115EE2">
            <w:pPr>
              <w:spacing w:after="240"/>
              <w:jc w:val="center"/>
              <w:rPr>
                <w:caps/>
                <w:sz w:val="20"/>
                <w:highlight w:val="yellow"/>
              </w:rPr>
            </w:pPr>
          </w:p>
        </w:tc>
        <w:tc>
          <w:tcPr>
            <w:tcW w:w="992" w:type="dxa"/>
            <w:vAlign w:val="center"/>
          </w:tcPr>
          <w:p w14:paraId="44B95412" w14:textId="77777777" w:rsidR="00115EE2" w:rsidRPr="0052569D" w:rsidRDefault="00115EE2" w:rsidP="00115EE2">
            <w:pPr>
              <w:spacing w:after="240"/>
              <w:jc w:val="center"/>
              <w:rPr>
                <w:caps/>
                <w:sz w:val="20"/>
                <w:highlight w:val="yellow"/>
              </w:rPr>
            </w:pPr>
          </w:p>
        </w:tc>
        <w:tc>
          <w:tcPr>
            <w:tcW w:w="992" w:type="dxa"/>
            <w:gridSpan w:val="2"/>
            <w:vAlign w:val="center"/>
          </w:tcPr>
          <w:p w14:paraId="14DB164D" w14:textId="77777777" w:rsidR="00115EE2" w:rsidRPr="0052569D" w:rsidRDefault="00115EE2" w:rsidP="00115EE2">
            <w:pPr>
              <w:spacing w:after="240"/>
              <w:jc w:val="center"/>
              <w:rPr>
                <w:caps/>
                <w:sz w:val="20"/>
                <w:highlight w:val="yellow"/>
              </w:rPr>
            </w:pPr>
          </w:p>
        </w:tc>
        <w:tc>
          <w:tcPr>
            <w:tcW w:w="1014" w:type="dxa"/>
            <w:vAlign w:val="center"/>
          </w:tcPr>
          <w:p w14:paraId="33F340B2" w14:textId="77777777" w:rsidR="00115EE2" w:rsidRPr="0052569D" w:rsidRDefault="00115EE2" w:rsidP="00115EE2">
            <w:pPr>
              <w:spacing w:after="240"/>
              <w:jc w:val="center"/>
              <w:rPr>
                <w:caps/>
                <w:sz w:val="20"/>
                <w:highlight w:val="yellow"/>
              </w:rPr>
            </w:pPr>
          </w:p>
        </w:tc>
      </w:tr>
      <w:tr w:rsidR="00115EE2" w:rsidRPr="00532091" w14:paraId="5D9E73F0" w14:textId="77777777" w:rsidTr="00BF4886">
        <w:trPr>
          <w:gridAfter w:val="1"/>
          <w:wAfter w:w="1560" w:type="dxa"/>
          <w:trHeight w:val="715"/>
        </w:trPr>
        <w:tc>
          <w:tcPr>
            <w:tcW w:w="4961" w:type="dxa"/>
            <w:gridSpan w:val="3"/>
          </w:tcPr>
          <w:p w14:paraId="73C01583" w14:textId="77777777" w:rsidR="00115EE2" w:rsidRPr="0052569D" w:rsidRDefault="00115EE2" w:rsidP="00115EE2">
            <w:pPr>
              <w:numPr>
                <w:ilvl w:val="0"/>
                <w:numId w:val="6"/>
              </w:numPr>
              <w:tabs>
                <w:tab w:val="num" w:pos="342"/>
              </w:tabs>
              <w:spacing w:after="120"/>
              <w:ind w:left="342" w:hanging="342"/>
              <w:rPr>
                <w:b/>
                <w:sz w:val="20"/>
              </w:rPr>
            </w:pPr>
            <w:r w:rsidRPr="00656884">
              <w:rPr>
                <w:b/>
                <w:sz w:val="20"/>
              </w:rPr>
              <w:t>Upper limit for total principal sums invested for over 364 days (</w:t>
            </w:r>
            <w:r w:rsidRPr="00656884">
              <w:rPr>
                <w:sz w:val="20"/>
              </w:rPr>
              <w:t>per maturity date as a percentage of total investments.</w:t>
            </w:r>
            <w:r w:rsidRPr="0052569D">
              <w:rPr>
                <w:b/>
                <w:sz w:val="20"/>
              </w:rPr>
              <w:t>)</w:t>
            </w:r>
          </w:p>
        </w:tc>
        <w:tc>
          <w:tcPr>
            <w:tcW w:w="1146" w:type="dxa"/>
            <w:vAlign w:val="center"/>
          </w:tcPr>
          <w:p w14:paraId="2B062B0B" w14:textId="3EEDBF8F" w:rsidR="00115EE2" w:rsidRPr="00532091" w:rsidRDefault="00BC5A4F" w:rsidP="00BC5A4F">
            <w:pPr>
              <w:tabs>
                <w:tab w:val="decimal" w:pos="792"/>
              </w:tabs>
              <w:spacing w:after="120"/>
              <w:rPr>
                <w:b/>
                <w:caps/>
                <w:sz w:val="18"/>
              </w:rPr>
            </w:pPr>
            <w:r w:rsidRPr="00532091">
              <w:rPr>
                <w:b/>
                <w:caps/>
                <w:sz w:val="18"/>
              </w:rPr>
              <w:t>£300m</w:t>
            </w:r>
          </w:p>
        </w:tc>
        <w:tc>
          <w:tcPr>
            <w:tcW w:w="992" w:type="dxa"/>
            <w:vAlign w:val="center"/>
          </w:tcPr>
          <w:p w14:paraId="26AE0091" w14:textId="7EF9007B" w:rsidR="00115EE2" w:rsidRPr="00532091" w:rsidRDefault="00BC5A4F" w:rsidP="00115EE2">
            <w:pPr>
              <w:tabs>
                <w:tab w:val="decimal" w:pos="792"/>
              </w:tabs>
              <w:spacing w:after="120"/>
              <w:rPr>
                <w:b/>
                <w:caps/>
                <w:sz w:val="18"/>
              </w:rPr>
            </w:pPr>
            <w:r w:rsidRPr="00532091">
              <w:rPr>
                <w:b/>
                <w:caps/>
                <w:sz w:val="18"/>
              </w:rPr>
              <w:t>£300m</w:t>
            </w:r>
          </w:p>
        </w:tc>
        <w:tc>
          <w:tcPr>
            <w:tcW w:w="992" w:type="dxa"/>
            <w:gridSpan w:val="2"/>
            <w:vAlign w:val="center"/>
          </w:tcPr>
          <w:p w14:paraId="7C587DA9" w14:textId="659FABC2" w:rsidR="00115EE2" w:rsidRPr="00532091" w:rsidRDefault="0027125D" w:rsidP="0027125D">
            <w:pPr>
              <w:tabs>
                <w:tab w:val="decimal" w:pos="792"/>
              </w:tabs>
              <w:spacing w:after="120"/>
              <w:rPr>
                <w:b/>
                <w:sz w:val="18"/>
              </w:rPr>
            </w:pPr>
            <w:r w:rsidRPr="00532091">
              <w:rPr>
                <w:b/>
                <w:caps/>
                <w:sz w:val="18"/>
              </w:rPr>
              <w:t>300</w:t>
            </w:r>
            <w:r w:rsidR="00BC5A4F" w:rsidRPr="00532091">
              <w:rPr>
                <w:b/>
                <w:caps/>
                <w:sz w:val="18"/>
              </w:rPr>
              <w:t>m</w:t>
            </w:r>
          </w:p>
        </w:tc>
        <w:tc>
          <w:tcPr>
            <w:tcW w:w="1014" w:type="dxa"/>
            <w:vAlign w:val="center"/>
          </w:tcPr>
          <w:p w14:paraId="69D9A511" w14:textId="15B04120" w:rsidR="00115EE2" w:rsidRPr="00532091" w:rsidRDefault="0027125D" w:rsidP="00115EE2">
            <w:pPr>
              <w:tabs>
                <w:tab w:val="decimal" w:pos="792"/>
              </w:tabs>
              <w:spacing w:after="120"/>
              <w:rPr>
                <w:b/>
                <w:sz w:val="18"/>
              </w:rPr>
            </w:pPr>
            <w:r w:rsidRPr="00532091">
              <w:rPr>
                <w:b/>
                <w:caps/>
                <w:sz w:val="18"/>
              </w:rPr>
              <w:t>300</w:t>
            </w:r>
            <w:r w:rsidR="00BC5A4F" w:rsidRPr="00532091">
              <w:rPr>
                <w:b/>
                <w:caps/>
                <w:sz w:val="18"/>
              </w:rPr>
              <w:t>m</w:t>
            </w:r>
          </w:p>
        </w:tc>
      </w:tr>
      <w:tr w:rsidR="00115EE2" w:rsidRPr="00541497" w14:paraId="04A0B166" w14:textId="77777777" w:rsidTr="00BF4886">
        <w:trPr>
          <w:gridBefore w:val="1"/>
          <w:gridAfter w:val="1"/>
          <w:wBefore w:w="33" w:type="dxa"/>
          <w:wAfter w:w="1560" w:type="dxa"/>
          <w:cantSplit/>
        </w:trPr>
        <w:tc>
          <w:tcPr>
            <w:tcW w:w="4820" w:type="dxa"/>
          </w:tcPr>
          <w:p w14:paraId="33E8B305" w14:textId="77777777" w:rsidR="00A24EE2" w:rsidRDefault="00A24EE2" w:rsidP="00A24EE2">
            <w:pPr>
              <w:spacing w:after="120"/>
              <w:ind w:left="342"/>
              <w:rPr>
                <w:b/>
                <w:sz w:val="20"/>
              </w:rPr>
            </w:pPr>
          </w:p>
          <w:p w14:paraId="22D29435" w14:textId="4B130662" w:rsidR="00115EE2" w:rsidRPr="00656884" w:rsidRDefault="00115EE2" w:rsidP="00115EE2">
            <w:pPr>
              <w:numPr>
                <w:ilvl w:val="0"/>
                <w:numId w:val="6"/>
              </w:numPr>
              <w:tabs>
                <w:tab w:val="num" w:pos="342"/>
              </w:tabs>
              <w:spacing w:after="120"/>
              <w:ind w:left="342" w:hanging="342"/>
              <w:rPr>
                <w:b/>
                <w:sz w:val="20"/>
              </w:rPr>
            </w:pPr>
            <w:r w:rsidRPr="00656884">
              <w:rPr>
                <w:b/>
                <w:sz w:val="20"/>
              </w:rPr>
              <w:t>Maturity structure of Debt</w:t>
            </w:r>
          </w:p>
        </w:tc>
        <w:tc>
          <w:tcPr>
            <w:tcW w:w="2268" w:type="dxa"/>
            <w:gridSpan w:val="4"/>
          </w:tcPr>
          <w:p w14:paraId="0F0F9A0D" w14:textId="77777777" w:rsidR="00A24EE2" w:rsidRDefault="00A24EE2" w:rsidP="00115EE2">
            <w:pPr>
              <w:spacing w:after="120"/>
              <w:jc w:val="center"/>
              <w:rPr>
                <w:b/>
                <w:sz w:val="20"/>
              </w:rPr>
            </w:pPr>
          </w:p>
          <w:p w14:paraId="038C7CD0" w14:textId="0128A35B" w:rsidR="00115EE2" w:rsidRPr="0052569D" w:rsidRDefault="00115EE2" w:rsidP="00115EE2">
            <w:pPr>
              <w:spacing w:after="120"/>
              <w:jc w:val="center"/>
              <w:rPr>
                <w:b/>
                <w:caps/>
                <w:sz w:val="20"/>
              </w:rPr>
            </w:pPr>
            <w:r w:rsidRPr="0052569D">
              <w:rPr>
                <w:b/>
                <w:sz w:val="20"/>
              </w:rPr>
              <w:t>Upper Limit</w:t>
            </w:r>
            <w:r w:rsidRPr="0052569D">
              <w:rPr>
                <w:b/>
                <w:sz w:val="20"/>
              </w:rPr>
              <w:br/>
              <w:t>%</w:t>
            </w:r>
          </w:p>
        </w:tc>
        <w:tc>
          <w:tcPr>
            <w:tcW w:w="1984" w:type="dxa"/>
            <w:gridSpan w:val="2"/>
          </w:tcPr>
          <w:p w14:paraId="5AAEF1AE" w14:textId="77777777" w:rsidR="00A24EE2" w:rsidRDefault="00A24EE2" w:rsidP="00115EE2">
            <w:pPr>
              <w:spacing w:after="120"/>
              <w:jc w:val="center"/>
              <w:rPr>
                <w:b/>
                <w:sz w:val="20"/>
              </w:rPr>
            </w:pPr>
          </w:p>
          <w:p w14:paraId="3F9CFCF2" w14:textId="64959CD8" w:rsidR="00115EE2" w:rsidRPr="0052569D" w:rsidRDefault="00115EE2" w:rsidP="00115EE2">
            <w:pPr>
              <w:spacing w:after="120"/>
              <w:jc w:val="center"/>
              <w:rPr>
                <w:b/>
                <w:caps/>
                <w:sz w:val="20"/>
              </w:rPr>
            </w:pPr>
            <w:r w:rsidRPr="0052569D">
              <w:rPr>
                <w:b/>
                <w:sz w:val="20"/>
              </w:rPr>
              <w:t>Lower Limit</w:t>
            </w:r>
            <w:r w:rsidRPr="0052569D">
              <w:rPr>
                <w:b/>
                <w:sz w:val="20"/>
              </w:rPr>
              <w:br/>
              <w:t>%</w:t>
            </w:r>
          </w:p>
        </w:tc>
      </w:tr>
      <w:tr w:rsidR="00115EE2" w:rsidRPr="00541497" w14:paraId="60815C0D" w14:textId="77777777" w:rsidTr="00BF4886">
        <w:trPr>
          <w:gridBefore w:val="1"/>
          <w:gridAfter w:val="1"/>
          <w:wBefore w:w="33" w:type="dxa"/>
          <w:wAfter w:w="1560" w:type="dxa"/>
          <w:cantSplit/>
        </w:trPr>
        <w:tc>
          <w:tcPr>
            <w:tcW w:w="4820" w:type="dxa"/>
          </w:tcPr>
          <w:p w14:paraId="23C25599" w14:textId="77777777" w:rsidR="00115EE2" w:rsidRPr="00656884" w:rsidRDefault="00115EE2" w:rsidP="00115EE2">
            <w:pPr>
              <w:tabs>
                <w:tab w:val="left" w:pos="342"/>
              </w:tabs>
              <w:spacing w:after="120"/>
              <w:ind w:left="342"/>
              <w:rPr>
                <w:sz w:val="20"/>
              </w:rPr>
            </w:pPr>
            <w:r w:rsidRPr="00656884">
              <w:rPr>
                <w:sz w:val="20"/>
              </w:rPr>
              <w:t>Under 12 months</w:t>
            </w:r>
          </w:p>
        </w:tc>
        <w:tc>
          <w:tcPr>
            <w:tcW w:w="2268" w:type="dxa"/>
            <w:gridSpan w:val="4"/>
          </w:tcPr>
          <w:p w14:paraId="715A8341" w14:textId="77777777" w:rsidR="00115EE2" w:rsidRPr="0052569D" w:rsidRDefault="00551C44" w:rsidP="00DB3E78">
            <w:pPr>
              <w:spacing w:after="120"/>
              <w:jc w:val="center"/>
              <w:rPr>
                <w:sz w:val="20"/>
              </w:rPr>
            </w:pPr>
            <w:r w:rsidRPr="0052569D">
              <w:rPr>
                <w:sz w:val="20"/>
              </w:rPr>
              <w:t>90</w:t>
            </w:r>
          </w:p>
        </w:tc>
        <w:tc>
          <w:tcPr>
            <w:tcW w:w="1984" w:type="dxa"/>
            <w:gridSpan w:val="2"/>
          </w:tcPr>
          <w:p w14:paraId="386A490D" w14:textId="77777777" w:rsidR="00115EE2" w:rsidRPr="0052569D" w:rsidRDefault="00115EE2" w:rsidP="00115EE2">
            <w:pPr>
              <w:spacing w:after="120"/>
              <w:jc w:val="center"/>
              <w:rPr>
                <w:sz w:val="20"/>
              </w:rPr>
            </w:pPr>
            <w:r w:rsidRPr="0052569D">
              <w:rPr>
                <w:sz w:val="20"/>
              </w:rPr>
              <w:t>-</w:t>
            </w:r>
          </w:p>
        </w:tc>
      </w:tr>
      <w:tr w:rsidR="00115EE2" w:rsidRPr="00541497" w14:paraId="0BAE9CEC" w14:textId="77777777" w:rsidTr="00BF4886">
        <w:trPr>
          <w:gridBefore w:val="1"/>
          <w:gridAfter w:val="1"/>
          <w:wBefore w:w="33" w:type="dxa"/>
          <w:wAfter w:w="1560" w:type="dxa"/>
          <w:cantSplit/>
        </w:trPr>
        <w:tc>
          <w:tcPr>
            <w:tcW w:w="4820" w:type="dxa"/>
          </w:tcPr>
          <w:p w14:paraId="5DB540E1" w14:textId="77777777" w:rsidR="00115EE2" w:rsidRPr="00656884" w:rsidRDefault="00115EE2" w:rsidP="00115EE2">
            <w:pPr>
              <w:tabs>
                <w:tab w:val="left" w:pos="342"/>
              </w:tabs>
              <w:spacing w:after="120"/>
              <w:ind w:left="342"/>
              <w:rPr>
                <w:sz w:val="20"/>
              </w:rPr>
            </w:pPr>
            <w:r w:rsidRPr="00656884">
              <w:rPr>
                <w:sz w:val="20"/>
              </w:rPr>
              <w:t>12 months and within 24 months</w:t>
            </w:r>
          </w:p>
        </w:tc>
        <w:tc>
          <w:tcPr>
            <w:tcW w:w="2268" w:type="dxa"/>
            <w:gridSpan w:val="4"/>
          </w:tcPr>
          <w:p w14:paraId="0D86CFA2" w14:textId="77777777" w:rsidR="00115EE2" w:rsidRPr="0052569D" w:rsidRDefault="00551C44" w:rsidP="00115EE2">
            <w:pPr>
              <w:spacing w:after="120"/>
              <w:jc w:val="center"/>
              <w:rPr>
                <w:sz w:val="20"/>
              </w:rPr>
            </w:pPr>
            <w:r w:rsidRPr="0052569D">
              <w:rPr>
                <w:sz w:val="20"/>
              </w:rPr>
              <w:t>8</w:t>
            </w:r>
            <w:r w:rsidR="00DB3E78" w:rsidRPr="0052569D">
              <w:rPr>
                <w:sz w:val="20"/>
              </w:rPr>
              <w:t>0</w:t>
            </w:r>
          </w:p>
        </w:tc>
        <w:tc>
          <w:tcPr>
            <w:tcW w:w="1984" w:type="dxa"/>
            <w:gridSpan w:val="2"/>
          </w:tcPr>
          <w:p w14:paraId="07D82FCE" w14:textId="77777777" w:rsidR="00115EE2" w:rsidRPr="0052569D" w:rsidRDefault="00115EE2" w:rsidP="00115EE2">
            <w:pPr>
              <w:spacing w:after="120"/>
              <w:jc w:val="center"/>
              <w:rPr>
                <w:sz w:val="20"/>
              </w:rPr>
            </w:pPr>
            <w:r w:rsidRPr="0052569D">
              <w:rPr>
                <w:sz w:val="20"/>
              </w:rPr>
              <w:t>-</w:t>
            </w:r>
          </w:p>
        </w:tc>
      </w:tr>
      <w:tr w:rsidR="00115EE2" w:rsidRPr="00541497" w14:paraId="5A0E3BAE" w14:textId="77777777" w:rsidTr="00BF4886">
        <w:trPr>
          <w:gridBefore w:val="1"/>
          <w:gridAfter w:val="1"/>
          <w:wBefore w:w="33" w:type="dxa"/>
          <w:wAfter w:w="1560" w:type="dxa"/>
          <w:cantSplit/>
        </w:trPr>
        <w:tc>
          <w:tcPr>
            <w:tcW w:w="4820" w:type="dxa"/>
          </w:tcPr>
          <w:p w14:paraId="44C6CE38" w14:textId="77777777" w:rsidR="00115EE2" w:rsidRPr="00656884" w:rsidRDefault="00115EE2" w:rsidP="00115EE2">
            <w:pPr>
              <w:tabs>
                <w:tab w:val="left" w:pos="342"/>
              </w:tabs>
              <w:spacing w:after="120"/>
              <w:ind w:left="342"/>
              <w:rPr>
                <w:sz w:val="20"/>
              </w:rPr>
            </w:pPr>
            <w:r w:rsidRPr="00656884">
              <w:rPr>
                <w:sz w:val="20"/>
              </w:rPr>
              <w:t>24 months and within 5 years</w:t>
            </w:r>
          </w:p>
        </w:tc>
        <w:tc>
          <w:tcPr>
            <w:tcW w:w="2268" w:type="dxa"/>
            <w:gridSpan w:val="4"/>
          </w:tcPr>
          <w:p w14:paraId="19E214EF" w14:textId="77777777" w:rsidR="00115EE2" w:rsidRPr="0052569D" w:rsidRDefault="00551C44" w:rsidP="00115EE2">
            <w:pPr>
              <w:spacing w:after="120"/>
              <w:jc w:val="center"/>
              <w:rPr>
                <w:sz w:val="20"/>
              </w:rPr>
            </w:pPr>
            <w:r w:rsidRPr="0052569D">
              <w:rPr>
                <w:sz w:val="20"/>
              </w:rPr>
              <w:t>8</w:t>
            </w:r>
            <w:r w:rsidR="00DB3E78" w:rsidRPr="0052569D">
              <w:rPr>
                <w:sz w:val="20"/>
              </w:rPr>
              <w:t>5</w:t>
            </w:r>
          </w:p>
        </w:tc>
        <w:tc>
          <w:tcPr>
            <w:tcW w:w="1984" w:type="dxa"/>
            <w:gridSpan w:val="2"/>
          </w:tcPr>
          <w:p w14:paraId="1149DF75" w14:textId="77777777" w:rsidR="00115EE2" w:rsidRPr="0052569D" w:rsidRDefault="00115EE2" w:rsidP="00115EE2">
            <w:pPr>
              <w:spacing w:after="120"/>
              <w:jc w:val="center"/>
              <w:rPr>
                <w:sz w:val="20"/>
              </w:rPr>
            </w:pPr>
            <w:r w:rsidRPr="0052569D">
              <w:rPr>
                <w:sz w:val="20"/>
              </w:rPr>
              <w:t>-</w:t>
            </w:r>
          </w:p>
        </w:tc>
      </w:tr>
      <w:tr w:rsidR="00115EE2" w:rsidRPr="00541497" w14:paraId="228A9254" w14:textId="77777777" w:rsidTr="00BF4886">
        <w:trPr>
          <w:gridBefore w:val="1"/>
          <w:gridAfter w:val="1"/>
          <w:wBefore w:w="33" w:type="dxa"/>
          <w:wAfter w:w="1560" w:type="dxa"/>
          <w:cantSplit/>
        </w:trPr>
        <w:tc>
          <w:tcPr>
            <w:tcW w:w="4820" w:type="dxa"/>
          </w:tcPr>
          <w:p w14:paraId="6F147A8B" w14:textId="77777777" w:rsidR="00115EE2" w:rsidRPr="00656884" w:rsidRDefault="00115EE2" w:rsidP="00115EE2">
            <w:pPr>
              <w:tabs>
                <w:tab w:val="left" w:pos="342"/>
              </w:tabs>
              <w:spacing w:after="120"/>
              <w:ind w:left="342"/>
              <w:rPr>
                <w:sz w:val="20"/>
              </w:rPr>
            </w:pPr>
            <w:r w:rsidRPr="00656884">
              <w:rPr>
                <w:sz w:val="20"/>
              </w:rPr>
              <w:t>5 years and within 10 years</w:t>
            </w:r>
          </w:p>
        </w:tc>
        <w:tc>
          <w:tcPr>
            <w:tcW w:w="2268" w:type="dxa"/>
            <w:gridSpan w:val="4"/>
          </w:tcPr>
          <w:p w14:paraId="7FAE1BC1" w14:textId="77777777" w:rsidR="00115EE2" w:rsidRPr="0052569D" w:rsidRDefault="00551C44" w:rsidP="00115EE2">
            <w:pPr>
              <w:spacing w:after="120"/>
              <w:jc w:val="center"/>
              <w:rPr>
                <w:sz w:val="20"/>
              </w:rPr>
            </w:pPr>
            <w:r w:rsidRPr="0052569D">
              <w:rPr>
                <w:sz w:val="20"/>
              </w:rPr>
              <w:t>85</w:t>
            </w:r>
          </w:p>
        </w:tc>
        <w:tc>
          <w:tcPr>
            <w:tcW w:w="1984" w:type="dxa"/>
            <w:gridSpan w:val="2"/>
          </w:tcPr>
          <w:p w14:paraId="556BC5A8" w14:textId="77777777" w:rsidR="00115EE2" w:rsidRPr="0052569D" w:rsidRDefault="00115EE2" w:rsidP="00115EE2">
            <w:pPr>
              <w:spacing w:after="120"/>
              <w:jc w:val="center"/>
              <w:rPr>
                <w:sz w:val="20"/>
              </w:rPr>
            </w:pPr>
            <w:r w:rsidRPr="0052569D">
              <w:rPr>
                <w:sz w:val="20"/>
              </w:rPr>
              <w:t>-</w:t>
            </w:r>
          </w:p>
        </w:tc>
      </w:tr>
      <w:tr w:rsidR="00115EE2" w:rsidRPr="00541497" w14:paraId="7F76C372" w14:textId="77777777" w:rsidTr="00BF4886">
        <w:trPr>
          <w:gridBefore w:val="1"/>
          <w:gridAfter w:val="1"/>
          <w:wBefore w:w="33" w:type="dxa"/>
          <w:wAfter w:w="1560" w:type="dxa"/>
          <w:cantSplit/>
        </w:trPr>
        <w:tc>
          <w:tcPr>
            <w:tcW w:w="4820" w:type="dxa"/>
          </w:tcPr>
          <w:p w14:paraId="391C6141" w14:textId="77777777" w:rsidR="00115EE2" w:rsidRPr="00656884" w:rsidRDefault="00115EE2" w:rsidP="00115EE2">
            <w:pPr>
              <w:tabs>
                <w:tab w:val="left" w:pos="342"/>
              </w:tabs>
              <w:spacing w:after="240"/>
              <w:ind w:left="342"/>
              <w:rPr>
                <w:sz w:val="20"/>
              </w:rPr>
            </w:pPr>
            <w:r w:rsidRPr="00656884">
              <w:rPr>
                <w:sz w:val="20"/>
              </w:rPr>
              <w:t>10 years and above</w:t>
            </w:r>
          </w:p>
        </w:tc>
        <w:tc>
          <w:tcPr>
            <w:tcW w:w="2268" w:type="dxa"/>
            <w:gridSpan w:val="4"/>
          </w:tcPr>
          <w:p w14:paraId="10CBD20F" w14:textId="77777777" w:rsidR="00115EE2" w:rsidRPr="0052569D" w:rsidRDefault="00551C44" w:rsidP="00551C44">
            <w:pPr>
              <w:spacing w:after="240"/>
              <w:jc w:val="center"/>
              <w:rPr>
                <w:sz w:val="20"/>
              </w:rPr>
            </w:pPr>
            <w:r w:rsidRPr="0052569D">
              <w:rPr>
                <w:sz w:val="20"/>
              </w:rPr>
              <w:t>95</w:t>
            </w:r>
          </w:p>
        </w:tc>
        <w:tc>
          <w:tcPr>
            <w:tcW w:w="1984" w:type="dxa"/>
            <w:gridSpan w:val="2"/>
          </w:tcPr>
          <w:p w14:paraId="76463BF3" w14:textId="77777777" w:rsidR="00115EE2" w:rsidRPr="0052569D" w:rsidRDefault="00551C44" w:rsidP="00115EE2">
            <w:pPr>
              <w:spacing w:after="240"/>
              <w:jc w:val="center"/>
              <w:rPr>
                <w:sz w:val="20"/>
              </w:rPr>
            </w:pPr>
            <w:r w:rsidRPr="0052569D">
              <w:rPr>
                <w:sz w:val="20"/>
              </w:rPr>
              <w:t>5</w:t>
            </w:r>
          </w:p>
        </w:tc>
      </w:tr>
    </w:tbl>
    <w:tbl>
      <w:tblPr>
        <w:tblpPr w:leftFromText="180" w:rightFromText="180" w:vertAnchor="text" w:horzAnchor="page" w:tblpX="1456" w:tblpY="185"/>
        <w:tblW w:w="10064" w:type="dxa"/>
        <w:tblLayout w:type="fixed"/>
        <w:tblCellMar>
          <w:left w:w="0" w:type="dxa"/>
          <w:right w:w="0" w:type="dxa"/>
        </w:tblCellMar>
        <w:tblLook w:val="04A0" w:firstRow="1" w:lastRow="0" w:firstColumn="1" w:lastColumn="0" w:noHBand="0" w:noVBand="1"/>
      </w:tblPr>
      <w:tblGrid>
        <w:gridCol w:w="4962"/>
        <w:gridCol w:w="1134"/>
        <w:gridCol w:w="992"/>
        <w:gridCol w:w="992"/>
        <w:gridCol w:w="992"/>
        <w:gridCol w:w="992"/>
      </w:tblGrid>
      <w:tr w:rsidR="003C4FD9" w:rsidRPr="00541497" w14:paraId="2B80D74C" w14:textId="0AD0523F" w:rsidTr="00105E93">
        <w:tc>
          <w:tcPr>
            <w:tcW w:w="4962" w:type="dxa"/>
            <w:tcMar>
              <w:top w:w="0" w:type="dxa"/>
              <w:left w:w="108" w:type="dxa"/>
              <w:bottom w:w="0" w:type="dxa"/>
              <w:right w:w="108" w:type="dxa"/>
            </w:tcMar>
          </w:tcPr>
          <w:p w14:paraId="566DC126" w14:textId="77777777" w:rsidR="003C4FD9" w:rsidRPr="00105E93" w:rsidRDefault="003C4FD9" w:rsidP="002B6292">
            <w:pPr>
              <w:spacing w:after="120"/>
              <w:rPr>
                <w:rFonts w:eastAsia="Calibri" w:cs="Arial"/>
                <w:b/>
                <w:bCs/>
                <w:sz w:val="20"/>
                <w:u w:val="single"/>
              </w:rPr>
            </w:pPr>
          </w:p>
        </w:tc>
        <w:tc>
          <w:tcPr>
            <w:tcW w:w="1134" w:type="dxa"/>
            <w:tcMar>
              <w:top w:w="0" w:type="dxa"/>
              <w:left w:w="108" w:type="dxa"/>
              <w:bottom w:w="0" w:type="dxa"/>
              <w:right w:w="108" w:type="dxa"/>
            </w:tcMar>
          </w:tcPr>
          <w:p w14:paraId="4B97BCB9" w14:textId="77777777" w:rsidR="003C4FD9" w:rsidRPr="00105E93" w:rsidRDefault="003C4FD9" w:rsidP="0026648A">
            <w:pPr>
              <w:jc w:val="center"/>
              <w:rPr>
                <w:bCs/>
                <w:sz w:val="20"/>
                <w:u w:val="single"/>
              </w:rPr>
            </w:pPr>
          </w:p>
        </w:tc>
        <w:tc>
          <w:tcPr>
            <w:tcW w:w="992" w:type="dxa"/>
            <w:tcMar>
              <w:top w:w="0" w:type="dxa"/>
              <w:left w:w="108" w:type="dxa"/>
              <w:bottom w:w="0" w:type="dxa"/>
              <w:right w:w="108" w:type="dxa"/>
            </w:tcMar>
          </w:tcPr>
          <w:p w14:paraId="172FF0F5" w14:textId="77777777" w:rsidR="003C4FD9" w:rsidRPr="00105E93" w:rsidRDefault="003C4FD9" w:rsidP="0026648A">
            <w:pPr>
              <w:jc w:val="center"/>
              <w:rPr>
                <w:bCs/>
                <w:sz w:val="20"/>
                <w:u w:val="single"/>
              </w:rPr>
            </w:pPr>
          </w:p>
        </w:tc>
        <w:tc>
          <w:tcPr>
            <w:tcW w:w="992" w:type="dxa"/>
            <w:tcMar>
              <w:top w:w="0" w:type="dxa"/>
              <w:left w:w="108" w:type="dxa"/>
              <w:bottom w:w="0" w:type="dxa"/>
              <w:right w:w="108" w:type="dxa"/>
            </w:tcMar>
          </w:tcPr>
          <w:p w14:paraId="253BA220" w14:textId="77777777" w:rsidR="003C4FD9" w:rsidRPr="00105E93" w:rsidRDefault="003C4FD9" w:rsidP="0026648A">
            <w:pPr>
              <w:jc w:val="center"/>
              <w:rPr>
                <w:bCs/>
                <w:sz w:val="20"/>
                <w:u w:val="single"/>
              </w:rPr>
            </w:pPr>
          </w:p>
        </w:tc>
        <w:tc>
          <w:tcPr>
            <w:tcW w:w="992" w:type="dxa"/>
          </w:tcPr>
          <w:p w14:paraId="7BC76529" w14:textId="77777777" w:rsidR="003C4FD9" w:rsidRPr="00105E93" w:rsidRDefault="003C4FD9" w:rsidP="0026648A">
            <w:pPr>
              <w:rPr>
                <w:bCs/>
                <w:sz w:val="20"/>
                <w:u w:val="single"/>
              </w:rPr>
            </w:pPr>
          </w:p>
        </w:tc>
        <w:tc>
          <w:tcPr>
            <w:tcW w:w="992" w:type="dxa"/>
          </w:tcPr>
          <w:p w14:paraId="74F000DE" w14:textId="77777777" w:rsidR="003C4FD9" w:rsidRPr="00105E93" w:rsidRDefault="003C4FD9" w:rsidP="0026648A">
            <w:pPr>
              <w:rPr>
                <w:bCs/>
                <w:sz w:val="20"/>
                <w:u w:val="single"/>
              </w:rPr>
            </w:pPr>
          </w:p>
        </w:tc>
      </w:tr>
      <w:tr w:rsidR="003C4FD9" w:rsidRPr="00541497" w14:paraId="3A0B8611" w14:textId="365E3784" w:rsidTr="00105E93">
        <w:tc>
          <w:tcPr>
            <w:tcW w:w="4962" w:type="dxa"/>
            <w:tcMar>
              <w:top w:w="0" w:type="dxa"/>
              <w:left w:w="108" w:type="dxa"/>
              <w:bottom w:w="0" w:type="dxa"/>
              <w:right w:w="108" w:type="dxa"/>
            </w:tcMar>
          </w:tcPr>
          <w:p w14:paraId="08D04CC3" w14:textId="77777777" w:rsidR="003C4FD9" w:rsidRPr="00105E93" w:rsidRDefault="003C4FD9" w:rsidP="00011AEB">
            <w:pPr>
              <w:spacing w:after="120"/>
              <w:ind w:left="342"/>
              <w:rPr>
                <w:rFonts w:eastAsia="Calibri" w:cs="Arial"/>
                <w:b/>
                <w:bCs/>
                <w:sz w:val="20"/>
                <w:u w:val="single"/>
              </w:rPr>
            </w:pPr>
            <w:bookmarkStart w:id="0" w:name="_Hlk66961207"/>
          </w:p>
        </w:tc>
        <w:tc>
          <w:tcPr>
            <w:tcW w:w="1134" w:type="dxa"/>
            <w:tcMar>
              <w:top w:w="0" w:type="dxa"/>
              <w:left w:w="108" w:type="dxa"/>
              <w:bottom w:w="0" w:type="dxa"/>
              <w:right w:w="108" w:type="dxa"/>
            </w:tcMar>
          </w:tcPr>
          <w:p w14:paraId="3A1D99A0" w14:textId="2F077A54" w:rsidR="003C4FD9" w:rsidRPr="00DD0B85" w:rsidRDefault="003C4FD9" w:rsidP="006B5941">
            <w:pPr>
              <w:jc w:val="center"/>
              <w:rPr>
                <w:bCs/>
                <w:sz w:val="20"/>
                <w:u w:val="single"/>
              </w:rPr>
            </w:pPr>
            <w:r w:rsidRPr="00DD0B85">
              <w:rPr>
                <w:bCs/>
                <w:sz w:val="20"/>
                <w:u w:val="single"/>
              </w:rPr>
              <w:t xml:space="preserve">2020/21 </w:t>
            </w:r>
          </w:p>
        </w:tc>
        <w:tc>
          <w:tcPr>
            <w:tcW w:w="992" w:type="dxa"/>
            <w:tcMar>
              <w:top w:w="0" w:type="dxa"/>
              <w:left w:w="108" w:type="dxa"/>
              <w:bottom w:w="0" w:type="dxa"/>
              <w:right w:w="108" w:type="dxa"/>
            </w:tcMar>
          </w:tcPr>
          <w:p w14:paraId="1C9B5F3A" w14:textId="46F459F8" w:rsidR="003C4FD9" w:rsidRPr="00105E93" w:rsidRDefault="003C4FD9" w:rsidP="00D36D4D">
            <w:pPr>
              <w:jc w:val="center"/>
              <w:rPr>
                <w:bCs/>
                <w:sz w:val="20"/>
                <w:u w:val="single"/>
              </w:rPr>
            </w:pPr>
            <w:r w:rsidRPr="00105E93">
              <w:rPr>
                <w:bCs/>
                <w:sz w:val="20"/>
                <w:u w:val="single"/>
              </w:rPr>
              <w:t>2021/22</w:t>
            </w:r>
          </w:p>
        </w:tc>
        <w:tc>
          <w:tcPr>
            <w:tcW w:w="992" w:type="dxa"/>
            <w:tcMar>
              <w:top w:w="0" w:type="dxa"/>
              <w:left w:w="108" w:type="dxa"/>
              <w:bottom w:w="0" w:type="dxa"/>
              <w:right w:w="108" w:type="dxa"/>
            </w:tcMar>
          </w:tcPr>
          <w:p w14:paraId="0FA0EE38" w14:textId="272C5051" w:rsidR="003C4FD9" w:rsidRPr="00105E93" w:rsidRDefault="003C4FD9" w:rsidP="00D36D4D">
            <w:pPr>
              <w:jc w:val="center"/>
              <w:rPr>
                <w:bCs/>
                <w:sz w:val="20"/>
                <w:u w:val="single"/>
              </w:rPr>
            </w:pPr>
            <w:r w:rsidRPr="00105E93">
              <w:rPr>
                <w:bCs/>
                <w:sz w:val="20"/>
                <w:u w:val="single"/>
              </w:rPr>
              <w:t>2022/23</w:t>
            </w:r>
          </w:p>
        </w:tc>
        <w:tc>
          <w:tcPr>
            <w:tcW w:w="992" w:type="dxa"/>
          </w:tcPr>
          <w:p w14:paraId="2BDF8C06" w14:textId="6A12095E" w:rsidR="003C4FD9" w:rsidRPr="00105E93" w:rsidRDefault="003C4FD9" w:rsidP="00D36D4D">
            <w:pPr>
              <w:rPr>
                <w:bCs/>
                <w:sz w:val="20"/>
                <w:u w:val="single"/>
              </w:rPr>
            </w:pPr>
            <w:r w:rsidRPr="00105E93">
              <w:rPr>
                <w:bCs/>
                <w:sz w:val="20"/>
                <w:u w:val="single"/>
              </w:rPr>
              <w:t>2023/24</w:t>
            </w:r>
          </w:p>
        </w:tc>
        <w:tc>
          <w:tcPr>
            <w:tcW w:w="992" w:type="dxa"/>
          </w:tcPr>
          <w:p w14:paraId="578487F6" w14:textId="742CB93A" w:rsidR="003C4FD9" w:rsidRPr="00105E93" w:rsidRDefault="003C4FD9" w:rsidP="00D36D4D">
            <w:pPr>
              <w:rPr>
                <w:bCs/>
                <w:sz w:val="20"/>
                <w:u w:val="single"/>
              </w:rPr>
            </w:pPr>
            <w:r w:rsidRPr="00105E93">
              <w:rPr>
                <w:bCs/>
                <w:sz w:val="20"/>
                <w:u w:val="single"/>
              </w:rPr>
              <w:t>2024/25</w:t>
            </w:r>
          </w:p>
        </w:tc>
      </w:tr>
      <w:tr w:rsidR="003C4FD9" w:rsidRPr="00541497" w14:paraId="7192677A" w14:textId="1260CD60" w:rsidTr="00105E93">
        <w:tc>
          <w:tcPr>
            <w:tcW w:w="4962" w:type="dxa"/>
            <w:tcMar>
              <w:top w:w="0" w:type="dxa"/>
              <w:left w:w="108" w:type="dxa"/>
              <w:bottom w:w="0" w:type="dxa"/>
              <w:right w:w="108" w:type="dxa"/>
            </w:tcMar>
          </w:tcPr>
          <w:p w14:paraId="67230361" w14:textId="33616269" w:rsidR="003C4FD9" w:rsidRPr="00105E93" w:rsidRDefault="003C4FD9" w:rsidP="00BA1AE1">
            <w:pPr>
              <w:numPr>
                <w:ilvl w:val="0"/>
                <w:numId w:val="6"/>
              </w:numPr>
              <w:spacing w:after="120"/>
              <w:ind w:left="601" w:hanging="484"/>
              <w:jc w:val="both"/>
              <w:rPr>
                <w:rFonts w:eastAsia="Calibri" w:cs="Arial"/>
                <w:b/>
                <w:bCs/>
                <w:sz w:val="20"/>
                <w:u w:val="single"/>
              </w:rPr>
            </w:pPr>
            <w:r w:rsidRPr="00105E93">
              <w:rPr>
                <w:rFonts w:eastAsia="Calibri" w:cs="Arial"/>
                <w:b/>
                <w:bCs/>
                <w:sz w:val="20"/>
                <w:u w:val="single"/>
              </w:rPr>
              <w:t>Ratio of financing costs to revenue stream (%)</w:t>
            </w:r>
          </w:p>
        </w:tc>
        <w:tc>
          <w:tcPr>
            <w:tcW w:w="1134" w:type="dxa"/>
            <w:tcMar>
              <w:top w:w="0" w:type="dxa"/>
              <w:left w:w="108" w:type="dxa"/>
              <w:bottom w:w="0" w:type="dxa"/>
              <w:right w:w="108" w:type="dxa"/>
            </w:tcMar>
          </w:tcPr>
          <w:p w14:paraId="45458BD6" w14:textId="50FE4219" w:rsidR="003C4FD9" w:rsidRPr="00DD0B85" w:rsidRDefault="003C4FD9" w:rsidP="006B5941">
            <w:pPr>
              <w:jc w:val="center"/>
              <w:rPr>
                <w:bCs/>
                <w:sz w:val="20"/>
              </w:rPr>
            </w:pPr>
            <w:r w:rsidRPr="00DD0B85">
              <w:rPr>
                <w:bCs/>
                <w:sz w:val="20"/>
              </w:rPr>
              <w:t>0.98</w:t>
            </w:r>
          </w:p>
        </w:tc>
        <w:tc>
          <w:tcPr>
            <w:tcW w:w="992" w:type="dxa"/>
            <w:tcMar>
              <w:top w:w="0" w:type="dxa"/>
              <w:left w:w="108" w:type="dxa"/>
              <w:bottom w:w="0" w:type="dxa"/>
              <w:right w:w="108" w:type="dxa"/>
            </w:tcMar>
          </w:tcPr>
          <w:p w14:paraId="1812644A" w14:textId="04B4093C" w:rsidR="003C4FD9" w:rsidRPr="00105E93" w:rsidRDefault="003C4FD9" w:rsidP="00011AEB">
            <w:pPr>
              <w:jc w:val="center"/>
              <w:rPr>
                <w:bCs/>
                <w:sz w:val="20"/>
              </w:rPr>
            </w:pPr>
            <w:r w:rsidRPr="00105E93">
              <w:rPr>
                <w:bCs/>
                <w:sz w:val="20"/>
              </w:rPr>
              <w:t>0.</w:t>
            </w:r>
            <w:r w:rsidR="00915E71">
              <w:rPr>
                <w:bCs/>
                <w:sz w:val="20"/>
              </w:rPr>
              <w:t>86</w:t>
            </w:r>
          </w:p>
        </w:tc>
        <w:tc>
          <w:tcPr>
            <w:tcW w:w="992" w:type="dxa"/>
            <w:tcMar>
              <w:top w:w="0" w:type="dxa"/>
              <w:left w:w="108" w:type="dxa"/>
              <w:bottom w:w="0" w:type="dxa"/>
              <w:right w:w="108" w:type="dxa"/>
            </w:tcMar>
          </w:tcPr>
          <w:p w14:paraId="149E32AB" w14:textId="65D44726" w:rsidR="003C4FD9" w:rsidRPr="00105E93" w:rsidRDefault="003C4FD9" w:rsidP="00011AEB">
            <w:pPr>
              <w:jc w:val="center"/>
              <w:rPr>
                <w:bCs/>
                <w:sz w:val="20"/>
              </w:rPr>
            </w:pPr>
            <w:r w:rsidRPr="00105E93">
              <w:rPr>
                <w:bCs/>
                <w:sz w:val="20"/>
              </w:rPr>
              <w:t>1.</w:t>
            </w:r>
            <w:r w:rsidR="00915E71">
              <w:rPr>
                <w:bCs/>
                <w:sz w:val="20"/>
              </w:rPr>
              <w:t>33</w:t>
            </w:r>
          </w:p>
        </w:tc>
        <w:tc>
          <w:tcPr>
            <w:tcW w:w="992" w:type="dxa"/>
          </w:tcPr>
          <w:p w14:paraId="67E4C953" w14:textId="70D80470" w:rsidR="003C4FD9" w:rsidRPr="00105E93" w:rsidRDefault="00915E71" w:rsidP="00011AEB">
            <w:pPr>
              <w:jc w:val="center"/>
              <w:rPr>
                <w:bCs/>
                <w:sz w:val="20"/>
              </w:rPr>
            </w:pPr>
            <w:r>
              <w:rPr>
                <w:bCs/>
                <w:sz w:val="20"/>
              </w:rPr>
              <w:t>1.89</w:t>
            </w:r>
          </w:p>
          <w:p w14:paraId="140A7E0D" w14:textId="0971A572" w:rsidR="003C4FD9" w:rsidRPr="00105E93" w:rsidRDefault="003C4FD9" w:rsidP="00011AEB">
            <w:pPr>
              <w:jc w:val="center"/>
              <w:rPr>
                <w:bCs/>
                <w:i/>
                <w:sz w:val="20"/>
              </w:rPr>
            </w:pPr>
          </w:p>
        </w:tc>
        <w:tc>
          <w:tcPr>
            <w:tcW w:w="992" w:type="dxa"/>
          </w:tcPr>
          <w:p w14:paraId="26B389A8" w14:textId="6D79F407" w:rsidR="003C4FD9" w:rsidRPr="00105E93" w:rsidDel="003C4FD9" w:rsidRDefault="003C4FD9" w:rsidP="00011AEB">
            <w:pPr>
              <w:jc w:val="center"/>
              <w:rPr>
                <w:bCs/>
                <w:sz w:val="20"/>
              </w:rPr>
            </w:pPr>
            <w:r w:rsidRPr="00105E93">
              <w:rPr>
                <w:bCs/>
                <w:sz w:val="20"/>
              </w:rPr>
              <w:t>2.2</w:t>
            </w:r>
            <w:r w:rsidR="00915E71">
              <w:rPr>
                <w:bCs/>
                <w:sz w:val="20"/>
              </w:rPr>
              <w:t>0</w:t>
            </w:r>
          </w:p>
        </w:tc>
      </w:tr>
      <w:bookmarkEnd w:id="0"/>
      <w:tr w:rsidR="003C4FD9" w:rsidRPr="00541497" w14:paraId="520D96DD" w14:textId="50B4CB32" w:rsidTr="00105E93">
        <w:tc>
          <w:tcPr>
            <w:tcW w:w="4962" w:type="dxa"/>
            <w:tcMar>
              <w:top w:w="0" w:type="dxa"/>
              <w:left w:w="108" w:type="dxa"/>
              <w:bottom w:w="0" w:type="dxa"/>
              <w:right w:w="108" w:type="dxa"/>
            </w:tcMar>
          </w:tcPr>
          <w:p w14:paraId="18989A59" w14:textId="77777777" w:rsidR="003C4FD9" w:rsidRPr="00105E93" w:rsidRDefault="003C4FD9" w:rsidP="00011AEB">
            <w:pPr>
              <w:rPr>
                <w:rFonts w:eastAsia="Calibri" w:cs="Arial"/>
                <w:b/>
                <w:bCs/>
                <w:sz w:val="20"/>
                <w:u w:val="single"/>
              </w:rPr>
            </w:pPr>
          </w:p>
        </w:tc>
        <w:tc>
          <w:tcPr>
            <w:tcW w:w="1134" w:type="dxa"/>
            <w:tcMar>
              <w:top w:w="0" w:type="dxa"/>
              <w:left w:w="108" w:type="dxa"/>
              <w:bottom w:w="0" w:type="dxa"/>
              <w:right w:w="108" w:type="dxa"/>
            </w:tcMar>
          </w:tcPr>
          <w:p w14:paraId="316618E2" w14:textId="77777777" w:rsidR="003C4FD9" w:rsidRPr="00105E93" w:rsidRDefault="003C4FD9" w:rsidP="00011AEB">
            <w:pPr>
              <w:jc w:val="center"/>
              <w:rPr>
                <w:bCs/>
                <w:sz w:val="20"/>
              </w:rPr>
            </w:pPr>
          </w:p>
        </w:tc>
        <w:tc>
          <w:tcPr>
            <w:tcW w:w="992" w:type="dxa"/>
            <w:tcMar>
              <w:top w:w="0" w:type="dxa"/>
              <w:left w:w="108" w:type="dxa"/>
              <w:bottom w:w="0" w:type="dxa"/>
              <w:right w:w="108" w:type="dxa"/>
            </w:tcMar>
          </w:tcPr>
          <w:p w14:paraId="34D553B2" w14:textId="77777777" w:rsidR="003C4FD9" w:rsidRPr="00105E93" w:rsidRDefault="003C4FD9" w:rsidP="00011AEB">
            <w:pPr>
              <w:jc w:val="center"/>
              <w:rPr>
                <w:bCs/>
                <w:sz w:val="20"/>
              </w:rPr>
            </w:pPr>
          </w:p>
        </w:tc>
        <w:tc>
          <w:tcPr>
            <w:tcW w:w="992" w:type="dxa"/>
            <w:tcMar>
              <w:top w:w="0" w:type="dxa"/>
              <w:left w:w="108" w:type="dxa"/>
              <w:bottom w:w="0" w:type="dxa"/>
              <w:right w:w="108" w:type="dxa"/>
            </w:tcMar>
          </w:tcPr>
          <w:p w14:paraId="76F892FA" w14:textId="77777777" w:rsidR="003C4FD9" w:rsidRPr="00105E93" w:rsidRDefault="003C4FD9" w:rsidP="00011AEB">
            <w:pPr>
              <w:jc w:val="center"/>
              <w:rPr>
                <w:bCs/>
                <w:sz w:val="20"/>
              </w:rPr>
            </w:pPr>
          </w:p>
        </w:tc>
        <w:tc>
          <w:tcPr>
            <w:tcW w:w="992" w:type="dxa"/>
            <w:vAlign w:val="center"/>
          </w:tcPr>
          <w:p w14:paraId="392B6D51" w14:textId="77777777" w:rsidR="003C4FD9" w:rsidRPr="00105E93" w:rsidRDefault="003C4FD9" w:rsidP="00011AEB">
            <w:pPr>
              <w:rPr>
                <w:bCs/>
                <w:sz w:val="20"/>
              </w:rPr>
            </w:pPr>
          </w:p>
        </w:tc>
        <w:tc>
          <w:tcPr>
            <w:tcW w:w="992" w:type="dxa"/>
          </w:tcPr>
          <w:p w14:paraId="42E41CD9" w14:textId="77777777" w:rsidR="003C4FD9" w:rsidRPr="00105E93" w:rsidRDefault="003C4FD9" w:rsidP="00011AEB">
            <w:pPr>
              <w:rPr>
                <w:bCs/>
                <w:sz w:val="20"/>
              </w:rPr>
            </w:pPr>
          </w:p>
        </w:tc>
      </w:tr>
      <w:tr w:rsidR="003C4FD9" w:rsidRPr="00541497" w14:paraId="56844653" w14:textId="443388F3" w:rsidTr="00105E93">
        <w:tc>
          <w:tcPr>
            <w:tcW w:w="4962" w:type="dxa"/>
            <w:tcMar>
              <w:top w:w="0" w:type="dxa"/>
              <w:left w:w="108" w:type="dxa"/>
              <w:bottom w:w="0" w:type="dxa"/>
              <w:right w:w="108" w:type="dxa"/>
            </w:tcMar>
          </w:tcPr>
          <w:p w14:paraId="6E617F56" w14:textId="77777777" w:rsidR="003C4FD9" w:rsidRPr="00105E93" w:rsidRDefault="003C4FD9" w:rsidP="00BA1AE1">
            <w:pPr>
              <w:spacing w:after="120"/>
              <w:rPr>
                <w:rFonts w:eastAsia="Calibri" w:cs="Arial"/>
                <w:b/>
                <w:bCs/>
                <w:sz w:val="20"/>
                <w:u w:val="single"/>
              </w:rPr>
            </w:pPr>
          </w:p>
        </w:tc>
        <w:tc>
          <w:tcPr>
            <w:tcW w:w="1134" w:type="dxa"/>
            <w:tcMar>
              <w:top w:w="0" w:type="dxa"/>
              <w:left w:w="108" w:type="dxa"/>
              <w:bottom w:w="0" w:type="dxa"/>
              <w:right w:w="108" w:type="dxa"/>
            </w:tcMar>
          </w:tcPr>
          <w:p w14:paraId="2D5F0B64" w14:textId="77777777" w:rsidR="003C4FD9" w:rsidRPr="00105E93" w:rsidRDefault="003C4FD9" w:rsidP="00011AEB">
            <w:pPr>
              <w:jc w:val="center"/>
              <w:rPr>
                <w:rFonts w:eastAsia="Calibri" w:cs="Arial"/>
                <w:bCs/>
                <w:sz w:val="20"/>
              </w:rPr>
            </w:pPr>
          </w:p>
        </w:tc>
        <w:tc>
          <w:tcPr>
            <w:tcW w:w="992" w:type="dxa"/>
            <w:tcMar>
              <w:top w:w="0" w:type="dxa"/>
              <w:left w:w="108" w:type="dxa"/>
              <w:bottom w:w="0" w:type="dxa"/>
              <w:right w:w="108" w:type="dxa"/>
            </w:tcMar>
          </w:tcPr>
          <w:p w14:paraId="3244CCA0" w14:textId="77777777" w:rsidR="003C4FD9" w:rsidRPr="00105E93" w:rsidRDefault="003C4FD9" w:rsidP="00011AEB">
            <w:pPr>
              <w:jc w:val="center"/>
              <w:rPr>
                <w:rFonts w:eastAsia="Calibri" w:cs="Arial"/>
                <w:bCs/>
                <w:sz w:val="20"/>
              </w:rPr>
            </w:pPr>
          </w:p>
        </w:tc>
        <w:tc>
          <w:tcPr>
            <w:tcW w:w="992" w:type="dxa"/>
            <w:tcMar>
              <w:top w:w="0" w:type="dxa"/>
              <w:left w:w="108" w:type="dxa"/>
              <w:bottom w:w="0" w:type="dxa"/>
              <w:right w:w="108" w:type="dxa"/>
            </w:tcMar>
          </w:tcPr>
          <w:p w14:paraId="146AF30A" w14:textId="77777777" w:rsidR="003C4FD9" w:rsidRPr="00105E93" w:rsidRDefault="003C4FD9" w:rsidP="00011AEB">
            <w:pPr>
              <w:jc w:val="center"/>
              <w:rPr>
                <w:rFonts w:eastAsia="Calibri" w:cs="Arial"/>
                <w:bCs/>
                <w:sz w:val="20"/>
              </w:rPr>
            </w:pPr>
          </w:p>
        </w:tc>
        <w:tc>
          <w:tcPr>
            <w:tcW w:w="992" w:type="dxa"/>
          </w:tcPr>
          <w:p w14:paraId="65FA8319" w14:textId="77777777" w:rsidR="003C4FD9" w:rsidRPr="00105E93" w:rsidRDefault="003C4FD9" w:rsidP="00011AEB">
            <w:pPr>
              <w:jc w:val="center"/>
              <w:rPr>
                <w:bCs/>
                <w:sz w:val="20"/>
              </w:rPr>
            </w:pPr>
          </w:p>
        </w:tc>
        <w:tc>
          <w:tcPr>
            <w:tcW w:w="992" w:type="dxa"/>
          </w:tcPr>
          <w:p w14:paraId="08199D22" w14:textId="77777777" w:rsidR="003C4FD9" w:rsidRPr="00105E93" w:rsidRDefault="003C4FD9" w:rsidP="00011AEB">
            <w:pPr>
              <w:jc w:val="center"/>
              <w:rPr>
                <w:bCs/>
                <w:sz w:val="20"/>
              </w:rPr>
            </w:pPr>
          </w:p>
        </w:tc>
      </w:tr>
      <w:tr w:rsidR="003C4FD9" w:rsidRPr="00541497" w14:paraId="3C83E47A" w14:textId="59ADE66F" w:rsidTr="00105E93">
        <w:tc>
          <w:tcPr>
            <w:tcW w:w="4962" w:type="dxa"/>
            <w:tcMar>
              <w:top w:w="0" w:type="dxa"/>
              <w:left w:w="108" w:type="dxa"/>
              <w:bottom w:w="0" w:type="dxa"/>
              <w:right w:w="108" w:type="dxa"/>
            </w:tcMar>
          </w:tcPr>
          <w:p w14:paraId="2B8ABBBD" w14:textId="77777777" w:rsidR="003C4FD9" w:rsidRPr="00105E93" w:rsidRDefault="003C4FD9" w:rsidP="00011AEB">
            <w:pPr>
              <w:rPr>
                <w:rFonts w:eastAsia="Calibri" w:cs="Arial"/>
                <w:b/>
                <w:bCs/>
                <w:sz w:val="20"/>
                <w:u w:val="single"/>
              </w:rPr>
            </w:pPr>
          </w:p>
        </w:tc>
        <w:tc>
          <w:tcPr>
            <w:tcW w:w="1134" w:type="dxa"/>
            <w:tcMar>
              <w:top w:w="0" w:type="dxa"/>
              <w:left w:w="108" w:type="dxa"/>
              <w:bottom w:w="0" w:type="dxa"/>
              <w:right w:w="108" w:type="dxa"/>
            </w:tcMar>
          </w:tcPr>
          <w:p w14:paraId="0451167C" w14:textId="77777777" w:rsidR="003C4FD9" w:rsidRPr="00105E93" w:rsidRDefault="003C4FD9" w:rsidP="00011AEB">
            <w:pPr>
              <w:jc w:val="center"/>
              <w:rPr>
                <w:bCs/>
                <w:sz w:val="20"/>
              </w:rPr>
            </w:pPr>
          </w:p>
        </w:tc>
        <w:tc>
          <w:tcPr>
            <w:tcW w:w="992" w:type="dxa"/>
            <w:tcMar>
              <w:top w:w="0" w:type="dxa"/>
              <w:left w:w="108" w:type="dxa"/>
              <w:bottom w:w="0" w:type="dxa"/>
              <w:right w:w="108" w:type="dxa"/>
            </w:tcMar>
          </w:tcPr>
          <w:p w14:paraId="35D837D6" w14:textId="77777777" w:rsidR="003C4FD9" w:rsidRPr="00105E93" w:rsidRDefault="003C4FD9" w:rsidP="00011AEB">
            <w:pPr>
              <w:jc w:val="center"/>
              <w:rPr>
                <w:bCs/>
                <w:sz w:val="20"/>
              </w:rPr>
            </w:pPr>
          </w:p>
        </w:tc>
        <w:tc>
          <w:tcPr>
            <w:tcW w:w="992" w:type="dxa"/>
            <w:tcMar>
              <w:top w:w="0" w:type="dxa"/>
              <w:left w:w="108" w:type="dxa"/>
              <w:bottom w:w="0" w:type="dxa"/>
              <w:right w:w="108" w:type="dxa"/>
            </w:tcMar>
          </w:tcPr>
          <w:p w14:paraId="42E2EDB3" w14:textId="77777777" w:rsidR="003C4FD9" w:rsidRPr="00105E93" w:rsidRDefault="003C4FD9" w:rsidP="00011AEB">
            <w:pPr>
              <w:jc w:val="center"/>
              <w:rPr>
                <w:bCs/>
                <w:sz w:val="20"/>
              </w:rPr>
            </w:pPr>
          </w:p>
        </w:tc>
        <w:tc>
          <w:tcPr>
            <w:tcW w:w="992" w:type="dxa"/>
            <w:vAlign w:val="center"/>
          </w:tcPr>
          <w:p w14:paraId="16C5C785" w14:textId="77777777" w:rsidR="003C4FD9" w:rsidRPr="00105E93" w:rsidRDefault="003C4FD9" w:rsidP="00011AEB">
            <w:pPr>
              <w:jc w:val="center"/>
              <w:rPr>
                <w:bCs/>
                <w:sz w:val="20"/>
              </w:rPr>
            </w:pPr>
          </w:p>
        </w:tc>
        <w:tc>
          <w:tcPr>
            <w:tcW w:w="992" w:type="dxa"/>
          </w:tcPr>
          <w:p w14:paraId="7F6E1C4B" w14:textId="77777777" w:rsidR="003C4FD9" w:rsidRPr="00105E93" w:rsidRDefault="003C4FD9" w:rsidP="00011AEB">
            <w:pPr>
              <w:jc w:val="center"/>
              <w:rPr>
                <w:bCs/>
                <w:sz w:val="20"/>
              </w:rPr>
            </w:pPr>
          </w:p>
        </w:tc>
      </w:tr>
      <w:tr w:rsidR="003C4FD9" w:rsidRPr="00541497" w14:paraId="3091C6ED" w14:textId="3E405FA2" w:rsidTr="00105E93">
        <w:tc>
          <w:tcPr>
            <w:tcW w:w="4962" w:type="dxa"/>
            <w:tcMar>
              <w:top w:w="0" w:type="dxa"/>
              <w:left w:w="108" w:type="dxa"/>
              <w:bottom w:w="0" w:type="dxa"/>
              <w:right w:w="108" w:type="dxa"/>
            </w:tcMar>
          </w:tcPr>
          <w:p w14:paraId="2AE0E7C6" w14:textId="77777777" w:rsidR="003C4FD9" w:rsidRPr="0052569D" w:rsidRDefault="003C4FD9" w:rsidP="00BA1AE1">
            <w:pPr>
              <w:spacing w:after="120"/>
              <w:rPr>
                <w:rFonts w:eastAsia="Calibri" w:cs="Arial"/>
                <w:b/>
                <w:bCs/>
                <w:sz w:val="20"/>
                <w:highlight w:val="yellow"/>
                <w:u w:val="single"/>
              </w:rPr>
            </w:pPr>
          </w:p>
        </w:tc>
        <w:tc>
          <w:tcPr>
            <w:tcW w:w="1134" w:type="dxa"/>
            <w:tcMar>
              <w:top w:w="0" w:type="dxa"/>
              <w:left w:w="108" w:type="dxa"/>
              <w:bottom w:w="0" w:type="dxa"/>
              <w:right w:w="108" w:type="dxa"/>
            </w:tcMar>
          </w:tcPr>
          <w:p w14:paraId="11286D66" w14:textId="77777777" w:rsidR="003C4FD9" w:rsidRPr="0052569D" w:rsidRDefault="003C4FD9" w:rsidP="00011AEB">
            <w:pPr>
              <w:jc w:val="center"/>
              <w:rPr>
                <w:rFonts w:eastAsia="Calibri" w:cs="Arial"/>
                <w:bCs/>
                <w:sz w:val="20"/>
                <w:highlight w:val="yellow"/>
              </w:rPr>
            </w:pPr>
          </w:p>
        </w:tc>
        <w:tc>
          <w:tcPr>
            <w:tcW w:w="992" w:type="dxa"/>
            <w:tcMar>
              <w:top w:w="0" w:type="dxa"/>
              <w:left w:w="108" w:type="dxa"/>
              <w:bottom w:w="0" w:type="dxa"/>
              <w:right w:w="108" w:type="dxa"/>
            </w:tcMar>
          </w:tcPr>
          <w:p w14:paraId="56F9AD0F" w14:textId="77777777" w:rsidR="003C4FD9" w:rsidRPr="0052569D" w:rsidRDefault="003C4FD9" w:rsidP="00011AEB">
            <w:pPr>
              <w:jc w:val="center"/>
              <w:rPr>
                <w:rFonts w:eastAsia="Calibri" w:cs="Arial"/>
                <w:bCs/>
                <w:sz w:val="20"/>
                <w:highlight w:val="yellow"/>
              </w:rPr>
            </w:pPr>
          </w:p>
        </w:tc>
        <w:tc>
          <w:tcPr>
            <w:tcW w:w="992" w:type="dxa"/>
            <w:tcMar>
              <w:top w:w="0" w:type="dxa"/>
              <w:left w:w="108" w:type="dxa"/>
              <w:bottom w:w="0" w:type="dxa"/>
              <w:right w:w="108" w:type="dxa"/>
            </w:tcMar>
          </w:tcPr>
          <w:p w14:paraId="4370EB78" w14:textId="77777777" w:rsidR="003C4FD9" w:rsidRPr="0052569D" w:rsidRDefault="003C4FD9" w:rsidP="00011AEB">
            <w:pPr>
              <w:jc w:val="center"/>
              <w:rPr>
                <w:rFonts w:eastAsia="Calibri" w:cs="Arial"/>
                <w:bCs/>
                <w:sz w:val="20"/>
                <w:highlight w:val="yellow"/>
              </w:rPr>
            </w:pPr>
          </w:p>
        </w:tc>
        <w:tc>
          <w:tcPr>
            <w:tcW w:w="992" w:type="dxa"/>
          </w:tcPr>
          <w:p w14:paraId="5E063E52" w14:textId="77777777" w:rsidR="003C4FD9" w:rsidRPr="0052569D" w:rsidRDefault="003C4FD9" w:rsidP="00011AEB">
            <w:pPr>
              <w:jc w:val="center"/>
              <w:rPr>
                <w:bCs/>
                <w:sz w:val="20"/>
                <w:highlight w:val="yellow"/>
              </w:rPr>
            </w:pPr>
          </w:p>
        </w:tc>
        <w:tc>
          <w:tcPr>
            <w:tcW w:w="992" w:type="dxa"/>
          </w:tcPr>
          <w:p w14:paraId="46A1A364" w14:textId="77777777" w:rsidR="003C4FD9" w:rsidRPr="0052569D" w:rsidRDefault="003C4FD9" w:rsidP="00011AEB">
            <w:pPr>
              <w:jc w:val="center"/>
              <w:rPr>
                <w:bCs/>
                <w:sz w:val="20"/>
                <w:highlight w:val="yellow"/>
              </w:rPr>
            </w:pPr>
          </w:p>
        </w:tc>
      </w:tr>
    </w:tbl>
    <w:p w14:paraId="63894498" w14:textId="77777777" w:rsidR="00115EE2" w:rsidRPr="0052569D" w:rsidRDefault="00115EE2" w:rsidP="00115EE2">
      <w:pPr>
        <w:spacing w:after="240"/>
        <w:rPr>
          <w:rFonts w:cs="Arial"/>
          <w:b/>
          <w:sz w:val="32"/>
          <w:szCs w:val="32"/>
          <w:highlight w:val="yellow"/>
        </w:rPr>
      </w:pPr>
    </w:p>
    <w:p w14:paraId="24195489" w14:textId="77777777" w:rsidR="00E816A9" w:rsidRPr="0052569D" w:rsidRDefault="00E816A9" w:rsidP="00115EE2">
      <w:pPr>
        <w:spacing w:after="240"/>
        <w:rPr>
          <w:rFonts w:cs="Arial"/>
          <w:b/>
          <w:sz w:val="32"/>
          <w:szCs w:val="32"/>
          <w:highlight w:val="yellow"/>
        </w:rPr>
      </w:pPr>
    </w:p>
    <w:p w14:paraId="7ACCD306" w14:textId="77777777" w:rsidR="00E816A9" w:rsidRPr="0052569D" w:rsidRDefault="00E816A9" w:rsidP="00115EE2">
      <w:pPr>
        <w:spacing w:after="240"/>
        <w:rPr>
          <w:rFonts w:cs="Arial"/>
          <w:b/>
          <w:sz w:val="32"/>
          <w:szCs w:val="32"/>
          <w:highlight w:val="yellow"/>
        </w:rPr>
      </w:pPr>
    </w:p>
    <w:p w14:paraId="1EC8836B" w14:textId="77777777" w:rsidR="00115EE2" w:rsidRPr="0052569D" w:rsidRDefault="00115EE2" w:rsidP="00115EE2">
      <w:pPr>
        <w:rPr>
          <w:rFonts w:cs="Arial"/>
          <w:highlight w:val="yellow"/>
        </w:rPr>
      </w:pPr>
    </w:p>
    <w:p w14:paraId="0D666BA1" w14:textId="77777777" w:rsidR="00115EE2" w:rsidRPr="0052569D" w:rsidRDefault="00115EE2" w:rsidP="00115EE2">
      <w:pPr>
        <w:rPr>
          <w:rFonts w:cs="Arial"/>
          <w:highlight w:val="yellow"/>
        </w:rPr>
      </w:pPr>
    </w:p>
    <w:p w14:paraId="2D3BA51B" w14:textId="77777777" w:rsidR="00011AEB" w:rsidRPr="0052569D" w:rsidRDefault="00011AEB" w:rsidP="00115EE2">
      <w:pPr>
        <w:spacing w:after="240"/>
        <w:rPr>
          <w:b/>
          <w:highlight w:val="yellow"/>
        </w:rPr>
      </w:pPr>
    </w:p>
    <w:p w14:paraId="6439B753" w14:textId="77777777" w:rsidR="00011AEB" w:rsidRPr="0052569D" w:rsidRDefault="00011AEB" w:rsidP="00115EE2">
      <w:pPr>
        <w:spacing w:after="240"/>
        <w:rPr>
          <w:b/>
          <w:highlight w:val="yellow"/>
        </w:rPr>
      </w:pPr>
    </w:p>
    <w:p w14:paraId="4553A93E" w14:textId="77777777" w:rsidR="00121F9C" w:rsidRPr="0052569D" w:rsidRDefault="00121F9C" w:rsidP="00203481">
      <w:pPr>
        <w:jc w:val="right"/>
        <w:rPr>
          <w:rFonts w:cs="Arial"/>
          <w:b/>
          <w:szCs w:val="24"/>
          <w:highlight w:val="yellow"/>
        </w:rPr>
        <w:sectPr w:rsidR="00121F9C" w:rsidRPr="0052569D" w:rsidSect="009E08A6">
          <w:headerReference w:type="first" r:id="rId10"/>
          <w:pgSz w:w="11907" w:h="16840" w:code="9"/>
          <w:pgMar w:top="851" w:right="851" w:bottom="851" w:left="851" w:header="284" w:footer="306" w:gutter="0"/>
          <w:paperSrc w:first="7" w:other="7"/>
          <w:pgNumType w:fmt="numberInDash"/>
          <w:cols w:space="720"/>
          <w:titlePg/>
        </w:sectPr>
      </w:pPr>
    </w:p>
    <w:p w14:paraId="35907B34" w14:textId="77777777" w:rsidR="00115EE2" w:rsidRPr="0052569D" w:rsidRDefault="00115EE2" w:rsidP="00203481">
      <w:pPr>
        <w:jc w:val="right"/>
        <w:rPr>
          <w:rFonts w:cs="Arial"/>
          <w:b/>
          <w:szCs w:val="24"/>
        </w:rPr>
      </w:pPr>
      <w:r w:rsidRPr="00FD7102">
        <w:rPr>
          <w:rFonts w:cs="Arial"/>
          <w:b/>
          <w:szCs w:val="24"/>
        </w:rPr>
        <w:lastRenderedPageBreak/>
        <w:t>A</w:t>
      </w:r>
      <w:r w:rsidR="00121F9C" w:rsidRPr="00FD7102">
        <w:rPr>
          <w:rFonts w:cs="Arial"/>
          <w:b/>
          <w:szCs w:val="24"/>
        </w:rPr>
        <w:t>nnex</w:t>
      </w:r>
      <w:r w:rsidRPr="0052569D">
        <w:rPr>
          <w:rFonts w:cs="Arial"/>
          <w:b/>
          <w:szCs w:val="24"/>
        </w:rPr>
        <w:t xml:space="preserve"> </w:t>
      </w:r>
      <w:r w:rsidR="00044334" w:rsidRPr="0052569D">
        <w:rPr>
          <w:rFonts w:cs="Arial"/>
          <w:b/>
          <w:szCs w:val="24"/>
        </w:rPr>
        <w:t>A</w:t>
      </w:r>
    </w:p>
    <w:p w14:paraId="02D33EE7" w14:textId="77777777" w:rsidR="00115EE2" w:rsidRPr="0052569D" w:rsidRDefault="00115EE2" w:rsidP="00115EE2">
      <w:pPr>
        <w:jc w:val="both"/>
        <w:rPr>
          <w:rFonts w:cs="Arial"/>
          <w:szCs w:val="24"/>
          <w:highlight w:val="yellow"/>
        </w:rPr>
      </w:pPr>
    </w:p>
    <w:p w14:paraId="7D20E28E" w14:textId="77777777" w:rsidR="00115EE2" w:rsidRPr="00FD7102" w:rsidRDefault="00115EE2" w:rsidP="00115EE2">
      <w:pPr>
        <w:jc w:val="both"/>
        <w:rPr>
          <w:rFonts w:cs="Arial"/>
          <w:b/>
          <w:szCs w:val="24"/>
        </w:rPr>
      </w:pPr>
      <w:r w:rsidRPr="00FD7102">
        <w:rPr>
          <w:rFonts w:cs="Arial"/>
          <w:b/>
          <w:szCs w:val="24"/>
        </w:rPr>
        <w:t>Treasury Management Policy Statement</w:t>
      </w:r>
    </w:p>
    <w:p w14:paraId="71A05C18" w14:textId="77777777" w:rsidR="00115EE2" w:rsidRPr="0052569D" w:rsidRDefault="00115EE2" w:rsidP="00115EE2">
      <w:pPr>
        <w:jc w:val="both"/>
        <w:rPr>
          <w:rFonts w:cs="Arial"/>
          <w:b/>
          <w:szCs w:val="24"/>
        </w:rPr>
      </w:pPr>
    </w:p>
    <w:p w14:paraId="2FF9F4E3" w14:textId="77777777" w:rsidR="00115EE2" w:rsidRPr="0052569D" w:rsidRDefault="00115EE2" w:rsidP="00115EE2">
      <w:pPr>
        <w:jc w:val="both"/>
        <w:rPr>
          <w:rFonts w:cs="Arial"/>
          <w:szCs w:val="24"/>
        </w:rPr>
      </w:pPr>
      <w:r w:rsidRPr="0052569D">
        <w:rPr>
          <w:rFonts w:cs="Arial"/>
          <w:szCs w:val="24"/>
        </w:rPr>
        <w:t xml:space="preserve">The </w:t>
      </w:r>
      <w:r w:rsidR="00203481" w:rsidRPr="0052569D">
        <w:rPr>
          <w:rFonts w:cs="Arial"/>
          <w:szCs w:val="24"/>
        </w:rPr>
        <w:t xml:space="preserve">Police and </w:t>
      </w:r>
      <w:r w:rsidR="00DA79EF" w:rsidRPr="0052569D">
        <w:rPr>
          <w:rFonts w:cs="Arial"/>
          <w:szCs w:val="24"/>
        </w:rPr>
        <w:t>C</w:t>
      </w:r>
      <w:r w:rsidR="00203481" w:rsidRPr="0052569D">
        <w:rPr>
          <w:rFonts w:cs="Arial"/>
          <w:szCs w:val="24"/>
        </w:rPr>
        <w:t xml:space="preserve">rime Commissioner's </w:t>
      </w:r>
      <w:r w:rsidRPr="0052569D">
        <w:rPr>
          <w:rFonts w:cs="Arial"/>
          <w:szCs w:val="24"/>
        </w:rPr>
        <w:t xml:space="preserve">financial regulations require </w:t>
      </w:r>
      <w:r w:rsidR="00DA79EF" w:rsidRPr="0052569D">
        <w:rPr>
          <w:rFonts w:cs="Arial"/>
          <w:szCs w:val="24"/>
        </w:rPr>
        <w:t>him</w:t>
      </w:r>
      <w:r w:rsidRPr="0052569D">
        <w:rPr>
          <w:rFonts w:cs="Arial"/>
          <w:szCs w:val="24"/>
        </w:rPr>
        <w:t xml:space="preserve"> to create and maintain a treasury management policy statement, stating the policies, </w:t>
      </w:r>
      <w:proofErr w:type="gramStart"/>
      <w:r w:rsidRPr="0052569D">
        <w:rPr>
          <w:rFonts w:cs="Arial"/>
          <w:szCs w:val="24"/>
        </w:rPr>
        <w:t>objectives</w:t>
      </w:r>
      <w:proofErr w:type="gramEnd"/>
      <w:r w:rsidRPr="0052569D">
        <w:rPr>
          <w:rFonts w:cs="Arial"/>
          <w:szCs w:val="24"/>
        </w:rPr>
        <w:t xml:space="preserve"> and approach to risk management of </w:t>
      </w:r>
      <w:r w:rsidR="00DA79EF" w:rsidRPr="0052569D">
        <w:rPr>
          <w:rFonts w:cs="Arial"/>
          <w:szCs w:val="24"/>
        </w:rPr>
        <w:t>hi</w:t>
      </w:r>
      <w:r w:rsidRPr="0052569D">
        <w:rPr>
          <w:rFonts w:cs="Arial"/>
          <w:szCs w:val="24"/>
        </w:rPr>
        <w:t>s treasury activities, as a cornerstone for effective treasury management.</w:t>
      </w:r>
    </w:p>
    <w:p w14:paraId="23347F29" w14:textId="77777777" w:rsidR="00115EE2" w:rsidRPr="0052569D" w:rsidRDefault="00115EE2" w:rsidP="00115EE2">
      <w:pPr>
        <w:jc w:val="both"/>
        <w:rPr>
          <w:rFonts w:cs="Arial"/>
          <w:b/>
          <w:szCs w:val="24"/>
        </w:rPr>
      </w:pPr>
    </w:p>
    <w:p w14:paraId="2FFF0171" w14:textId="77777777" w:rsidR="00115EE2" w:rsidRPr="0052569D" w:rsidRDefault="00115EE2" w:rsidP="00115EE2">
      <w:pPr>
        <w:jc w:val="both"/>
        <w:rPr>
          <w:rFonts w:cs="Arial"/>
          <w:b/>
          <w:i/>
          <w:szCs w:val="24"/>
        </w:rPr>
      </w:pPr>
      <w:r w:rsidRPr="0052569D">
        <w:rPr>
          <w:rFonts w:cs="Arial"/>
          <w:b/>
          <w:i/>
          <w:szCs w:val="24"/>
        </w:rPr>
        <w:t>Definition</w:t>
      </w:r>
    </w:p>
    <w:p w14:paraId="64E712B5" w14:textId="77777777" w:rsidR="00115EE2" w:rsidRPr="0052569D" w:rsidRDefault="00115EE2" w:rsidP="00115EE2">
      <w:pPr>
        <w:jc w:val="both"/>
        <w:rPr>
          <w:rFonts w:cs="Arial"/>
          <w:szCs w:val="24"/>
        </w:rPr>
      </w:pPr>
      <w:r w:rsidRPr="0052569D">
        <w:rPr>
          <w:rFonts w:cs="Arial"/>
          <w:szCs w:val="24"/>
        </w:rPr>
        <w:t xml:space="preserve">The </w:t>
      </w:r>
      <w:r w:rsidR="00203481" w:rsidRPr="0052569D">
        <w:rPr>
          <w:rFonts w:cs="Arial"/>
          <w:szCs w:val="24"/>
        </w:rPr>
        <w:t xml:space="preserve">Police and </w:t>
      </w:r>
      <w:r w:rsidR="00DA79EF" w:rsidRPr="0052569D">
        <w:rPr>
          <w:rFonts w:cs="Arial"/>
          <w:szCs w:val="24"/>
        </w:rPr>
        <w:t>C</w:t>
      </w:r>
      <w:r w:rsidR="00203481" w:rsidRPr="0052569D">
        <w:rPr>
          <w:rFonts w:cs="Arial"/>
          <w:szCs w:val="24"/>
        </w:rPr>
        <w:t xml:space="preserve">rime Commissioner </w:t>
      </w:r>
      <w:r w:rsidRPr="0052569D">
        <w:rPr>
          <w:rFonts w:cs="Arial"/>
          <w:szCs w:val="24"/>
        </w:rPr>
        <w:t xml:space="preserve">defines </w:t>
      </w:r>
      <w:r w:rsidR="00DA79EF" w:rsidRPr="0052569D">
        <w:rPr>
          <w:rFonts w:cs="Arial"/>
          <w:szCs w:val="24"/>
        </w:rPr>
        <w:t>hi</w:t>
      </w:r>
      <w:r w:rsidRPr="0052569D">
        <w:rPr>
          <w:rFonts w:cs="Arial"/>
          <w:szCs w:val="24"/>
        </w:rPr>
        <w:t xml:space="preserve">s treasury management activities as: the management of the </w:t>
      </w:r>
      <w:r w:rsidR="00203481" w:rsidRPr="0052569D">
        <w:rPr>
          <w:rFonts w:cs="Arial"/>
          <w:szCs w:val="24"/>
        </w:rPr>
        <w:t xml:space="preserve">Commissioner's </w:t>
      </w:r>
      <w:r w:rsidRPr="0052569D">
        <w:rPr>
          <w:rFonts w:cs="Arial"/>
          <w:szCs w:val="24"/>
        </w:rPr>
        <w:t xml:space="preserve">investments and cash flows, </w:t>
      </w:r>
      <w:r w:rsidR="00DA79EF" w:rsidRPr="0052569D">
        <w:rPr>
          <w:rFonts w:cs="Arial"/>
          <w:szCs w:val="24"/>
        </w:rPr>
        <w:t>his</w:t>
      </w:r>
      <w:r w:rsidRPr="0052569D">
        <w:rPr>
          <w:rFonts w:cs="Arial"/>
          <w:szCs w:val="24"/>
        </w:rPr>
        <w:t xml:space="preserve"> banking, money market and capital market transactions; the effective control of the risks associated with those activities; and the pursuit of optimum performance consistent with those risks.</w:t>
      </w:r>
    </w:p>
    <w:p w14:paraId="0FC58E9C" w14:textId="77777777" w:rsidR="00115EE2" w:rsidRPr="0052569D" w:rsidRDefault="00115EE2" w:rsidP="00115EE2">
      <w:pPr>
        <w:jc w:val="both"/>
        <w:rPr>
          <w:rFonts w:cs="Arial"/>
          <w:szCs w:val="24"/>
        </w:rPr>
      </w:pPr>
    </w:p>
    <w:p w14:paraId="28FCBCE2" w14:textId="77777777" w:rsidR="00115EE2" w:rsidRPr="0052569D" w:rsidRDefault="00115EE2" w:rsidP="00115EE2">
      <w:pPr>
        <w:jc w:val="both"/>
        <w:rPr>
          <w:rFonts w:cs="Arial"/>
          <w:b/>
          <w:i/>
          <w:szCs w:val="24"/>
        </w:rPr>
      </w:pPr>
      <w:r w:rsidRPr="0052569D">
        <w:rPr>
          <w:rFonts w:cs="Arial"/>
          <w:b/>
          <w:i/>
          <w:szCs w:val="24"/>
        </w:rPr>
        <w:t>Risk management</w:t>
      </w:r>
    </w:p>
    <w:p w14:paraId="02E6E526" w14:textId="77777777" w:rsidR="00115EE2" w:rsidRPr="0052569D" w:rsidRDefault="00115EE2" w:rsidP="00115EE2">
      <w:pPr>
        <w:jc w:val="both"/>
        <w:rPr>
          <w:rFonts w:cs="Arial"/>
          <w:szCs w:val="24"/>
        </w:rPr>
      </w:pPr>
      <w:r w:rsidRPr="0052569D">
        <w:rPr>
          <w:rFonts w:cs="Arial"/>
          <w:szCs w:val="24"/>
        </w:rPr>
        <w:t xml:space="preserve">The Commissioner regards the successful identification, monitoring and control of risk to be the prime criteria by which the effectiveness of </w:t>
      </w:r>
      <w:r w:rsidR="00DA79EF" w:rsidRPr="0052569D">
        <w:rPr>
          <w:rFonts w:cs="Arial"/>
          <w:szCs w:val="24"/>
        </w:rPr>
        <w:t>hi</w:t>
      </w:r>
      <w:r w:rsidRPr="0052569D">
        <w:rPr>
          <w:rFonts w:cs="Arial"/>
          <w:szCs w:val="24"/>
        </w:rPr>
        <w:t xml:space="preserve">s treasury management activities will be measured.  Accordingly, the analysis and reporting of treasury management activities will focus on their risk implications for the organisation, and any financial instruments </w:t>
      </w:r>
      <w:proofErr w:type="gramStart"/>
      <w:r w:rsidRPr="0052569D">
        <w:rPr>
          <w:rFonts w:cs="Arial"/>
          <w:szCs w:val="24"/>
        </w:rPr>
        <w:t>entered into</w:t>
      </w:r>
      <w:proofErr w:type="gramEnd"/>
      <w:r w:rsidRPr="0052569D">
        <w:rPr>
          <w:rFonts w:cs="Arial"/>
          <w:szCs w:val="24"/>
        </w:rPr>
        <w:t xml:space="preserve"> to manage these risks.</w:t>
      </w:r>
    </w:p>
    <w:p w14:paraId="6EF19B5F" w14:textId="77777777" w:rsidR="00115EE2" w:rsidRPr="0052569D" w:rsidRDefault="00115EE2" w:rsidP="00115EE2">
      <w:pPr>
        <w:jc w:val="both"/>
        <w:rPr>
          <w:rFonts w:cs="Arial"/>
          <w:szCs w:val="24"/>
        </w:rPr>
      </w:pPr>
    </w:p>
    <w:p w14:paraId="45E29109" w14:textId="77777777" w:rsidR="00115EE2" w:rsidRPr="0052569D" w:rsidRDefault="00115EE2" w:rsidP="00115EE2">
      <w:pPr>
        <w:jc w:val="both"/>
        <w:rPr>
          <w:rFonts w:cs="Arial"/>
          <w:b/>
          <w:i/>
          <w:szCs w:val="24"/>
        </w:rPr>
      </w:pPr>
      <w:r w:rsidRPr="0052569D">
        <w:rPr>
          <w:rFonts w:cs="Arial"/>
          <w:b/>
          <w:i/>
          <w:szCs w:val="24"/>
        </w:rPr>
        <w:t>Value for money</w:t>
      </w:r>
    </w:p>
    <w:p w14:paraId="1FE2EB0D" w14:textId="77777777" w:rsidR="00115EE2" w:rsidRPr="0052569D" w:rsidRDefault="00115EE2" w:rsidP="00115EE2">
      <w:pPr>
        <w:jc w:val="both"/>
        <w:rPr>
          <w:rFonts w:cs="Arial"/>
          <w:szCs w:val="24"/>
        </w:rPr>
      </w:pPr>
      <w:r w:rsidRPr="0052569D">
        <w:rPr>
          <w:rFonts w:cs="Arial"/>
          <w:szCs w:val="24"/>
        </w:rPr>
        <w:t xml:space="preserve">The Commissioner acknowledges that effective treasury management will provide support towards the achievement of its business and service objectives.  </w:t>
      </w:r>
      <w:r w:rsidR="00DA79EF" w:rsidRPr="0052569D">
        <w:rPr>
          <w:rFonts w:cs="Arial"/>
          <w:szCs w:val="24"/>
        </w:rPr>
        <w:t>He</w:t>
      </w:r>
      <w:r w:rsidRPr="0052569D">
        <w:rPr>
          <w:rFonts w:cs="Arial"/>
          <w:szCs w:val="24"/>
        </w:rPr>
        <w:t xml:space="preserve"> is therefore committed to the principles of achieving value for money in treasury management, and to employing suitable comprehensive performance measurement techniques, within the context of effective risk management.</w:t>
      </w:r>
    </w:p>
    <w:p w14:paraId="5F6010F6" w14:textId="77777777" w:rsidR="00115EE2" w:rsidRPr="0052569D" w:rsidRDefault="00115EE2" w:rsidP="00115EE2">
      <w:pPr>
        <w:jc w:val="both"/>
        <w:rPr>
          <w:rFonts w:cs="Arial"/>
          <w:szCs w:val="24"/>
        </w:rPr>
      </w:pPr>
    </w:p>
    <w:p w14:paraId="037792E6" w14:textId="77777777" w:rsidR="00115EE2" w:rsidRPr="0052569D" w:rsidRDefault="00115EE2" w:rsidP="00115EE2">
      <w:pPr>
        <w:jc w:val="both"/>
        <w:rPr>
          <w:rFonts w:cs="Arial"/>
          <w:b/>
          <w:i/>
          <w:szCs w:val="24"/>
        </w:rPr>
      </w:pPr>
      <w:r w:rsidRPr="0052569D">
        <w:rPr>
          <w:rFonts w:cs="Arial"/>
          <w:b/>
          <w:i/>
          <w:szCs w:val="24"/>
        </w:rPr>
        <w:t xml:space="preserve">Borrowing policy </w:t>
      </w:r>
    </w:p>
    <w:p w14:paraId="1D4B39C1" w14:textId="18514B64" w:rsidR="00AD2DEF" w:rsidRPr="0052569D" w:rsidRDefault="00AD2DEF" w:rsidP="00115EE2">
      <w:pPr>
        <w:jc w:val="both"/>
        <w:rPr>
          <w:rFonts w:cs="Arial"/>
          <w:szCs w:val="24"/>
        </w:rPr>
      </w:pPr>
      <w:r w:rsidRPr="0052569D">
        <w:rPr>
          <w:rFonts w:cs="Arial"/>
          <w:szCs w:val="24"/>
        </w:rPr>
        <w:t xml:space="preserve">The </w:t>
      </w:r>
      <w:r w:rsidR="002E6072" w:rsidRPr="0052569D">
        <w:rPr>
          <w:rFonts w:cs="Arial"/>
          <w:szCs w:val="24"/>
        </w:rPr>
        <w:t>Commissioner aims</w:t>
      </w:r>
      <w:r w:rsidRPr="0052569D">
        <w:rPr>
          <w:rFonts w:cs="Arial"/>
          <w:szCs w:val="24"/>
        </w:rPr>
        <w:t xml:space="preserve"> to fund its capital expenditure in a </w:t>
      </w:r>
      <w:r w:rsidR="00AE6210" w:rsidRPr="0052569D">
        <w:rPr>
          <w:rFonts w:cs="Arial"/>
          <w:szCs w:val="24"/>
        </w:rPr>
        <w:t>cost-effective</w:t>
      </w:r>
      <w:r w:rsidRPr="0052569D">
        <w:rPr>
          <w:rFonts w:cs="Arial"/>
          <w:szCs w:val="24"/>
        </w:rPr>
        <w:t xml:space="preserve"> manner. This will involve using short term and variable rate loans when these </w:t>
      </w:r>
      <w:proofErr w:type="gramStart"/>
      <w:r w:rsidRPr="0052569D">
        <w:rPr>
          <w:rFonts w:cs="Arial"/>
          <w:szCs w:val="24"/>
        </w:rPr>
        <w:t>are seen as</w:t>
      </w:r>
      <w:proofErr w:type="gramEnd"/>
      <w:r w:rsidRPr="0052569D">
        <w:rPr>
          <w:rFonts w:cs="Arial"/>
          <w:szCs w:val="24"/>
        </w:rPr>
        <w:t xml:space="preserve"> being the most beneficial strategy. </w:t>
      </w:r>
      <w:r w:rsidR="00AE6210" w:rsidRPr="0052569D">
        <w:rPr>
          <w:rFonts w:cs="Arial"/>
          <w:szCs w:val="24"/>
        </w:rPr>
        <w:t>However,</w:t>
      </w:r>
      <w:r w:rsidRPr="0052569D">
        <w:rPr>
          <w:rFonts w:cs="Arial"/>
          <w:szCs w:val="24"/>
        </w:rPr>
        <w:t xml:space="preserve"> consideration will be given to the </w:t>
      </w:r>
      <w:r w:rsidR="00AE6210" w:rsidRPr="0052569D">
        <w:rPr>
          <w:rFonts w:cs="Arial"/>
          <w:szCs w:val="24"/>
        </w:rPr>
        <w:t>long-term</w:t>
      </w:r>
      <w:r w:rsidRPr="0052569D">
        <w:rPr>
          <w:rFonts w:cs="Arial"/>
          <w:szCs w:val="24"/>
        </w:rPr>
        <w:t xml:space="preserve"> funding needs and the stability to budgets that fixed interest loans provides. The Commissioner will also constantly evaluate debt restructuring opportunities of the existing portfolio.</w:t>
      </w:r>
    </w:p>
    <w:p w14:paraId="69F35D6E" w14:textId="77777777" w:rsidR="00115EE2" w:rsidRPr="0052569D" w:rsidRDefault="00115EE2" w:rsidP="00115EE2">
      <w:pPr>
        <w:jc w:val="both"/>
        <w:rPr>
          <w:rFonts w:cs="Arial"/>
          <w:szCs w:val="24"/>
        </w:rPr>
      </w:pPr>
    </w:p>
    <w:p w14:paraId="38542745" w14:textId="430E2224" w:rsidR="00115EE2" w:rsidRPr="0052569D" w:rsidRDefault="00115EE2" w:rsidP="00115EE2">
      <w:pPr>
        <w:jc w:val="both"/>
        <w:rPr>
          <w:rFonts w:cs="Arial"/>
          <w:szCs w:val="24"/>
        </w:rPr>
      </w:pPr>
      <w:r w:rsidRPr="0052569D">
        <w:rPr>
          <w:rFonts w:cs="Arial"/>
          <w:szCs w:val="24"/>
        </w:rPr>
        <w:t xml:space="preserve">The Commissioner will set an affordable borrowing limit each year in compliance with the </w:t>
      </w:r>
      <w:r w:rsidRPr="0052569D">
        <w:rPr>
          <w:rFonts w:cs="Arial"/>
          <w:i/>
          <w:szCs w:val="24"/>
        </w:rPr>
        <w:t xml:space="preserve">Local Government Act </w:t>
      </w:r>
      <w:r w:rsidR="00AE6210" w:rsidRPr="0052569D">
        <w:rPr>
          <w:rFonts w:cs="Arial"/>
          <w:i/>
          <w:szCs w:val="24"/>
        </w:rPr>
        <w:t>2003</w:t>
      </w:r>
      <w:r w:rsidR="00AE6210" w:rsidRPr="0052569D">
        <w:rPr>
          <w:rFonts w:cs="Arial"/>
          <w:szCs w:val="24"/>
        </w:rPr>
        <w:t xml:space="preserve"> and</w:t>
      </w:r>
      <w:r w:rsidRPr="0052569D">
        <w:rPr>
          <w:rFonts w:cs="Arial"/>
          <w:szCs w:val="24"/>
        </w:rPr>
        <w:t xml:space="preserve"> will have regard to the </w:t>
      </w:r>
      <w:r w:rsidRPr="0052569D">
        <w:rPr>
          <w:rFonts w:cs="Arial"/>
          <w:i/>
          <w:szCs w:val="24"/>
        </w:rPr>
        <w:t xml:space="preserve">CIPFA Prudential Code for Capital Finance in Local Authorities </w:t>
      </w:r>
      <w:r w:rsidRPr="0052569D">
        <w:rPr>
          <w:rFonts w:cs="Arial"/>
          <w:szCs w:val="24"/>
        </w:rPr>
        <w:t xml:space="preserve">when setting that limit.  </w:t>
      </w:r>
      <w:r w:rsidR="00DA79EF" w:rsidRPr="0052569D">
        <w:rPr>
          <w:rFonts w:cs="Arial"/>
          <w:szCs w:val="24"/>
        </w:rPr>
        <w:t>He</w:t>
      </w:r>
      <w:r w:rsidRPr="0052569D">
        <w:rPr>
          <w:rFonts w:cs="Arial"/>
          <w:szCs w:val="24"/>
        </w:rPr>
        <w:t xml:space="preserve"> will also set limits on its exposure to changes in interest rates and limits on the maturity structure of its borrowing in the treasury management strategy report each year.</w:t>
      </w:r>
    </w:p>
    <w:p w14:paraId="0F734189" w14:textId="77777777" w:rsidR="00115EE2" w:rsidRPr="0052569D" w:rsidRDefault="00115EE2" w:rsidP="00115EE2">
      <w:pPr>
        <w:jc w:val="both"/>
        <w:rPr>
          <w:rFonts w:cs="Arial"/>
          <w:szCs w:val="24"/>
        </w:rPr>
      </w:pPr>
    </w:p>
    <w:p w14:paraId="53A5D27A" w14:textId="77777777" w:rsidR="00115EE2" w:rsidRPr="0052569D" w:rsidRDefault="00115EE2" w:rsidP="00115EE2">
      <w:pPr>
        <w:jc w:val="both"/>
        <w:rPr>
          <w:rFonts w:cs="Arial"/>
          <w:b/>
          <w:i/>
          <w:szCs w:val="24"/>
        </w:rPr>
      </w:pPr>
      <w:r w:rsidRPr="0052569D">
        <w:rPr>
          <w:rFonts w:cs="Arial"/>
          <w:b/>
          <w:i/>
          <w:szCs w:val="24"/>
        </w:rPr>
        <w:t xml:space="preserve">Investment policy </w:t>
      </w:r>
    </w:p>
    <w:p w14:paraId="1B886485" w14:textId="77777777" w:rsidR="00115EE2" w:rsidRPr="0052569D" w:rsidRDefault="00115EE2" w:rsidP="00115EE2">
      <w:pPr>
        <w:jc w:val="both"/>
        <w:rPr>
          <w:rFonts w:cs="Arial"/>
          <w:szCs w:val="24"/>
        </w:rPr>
      </w:pPr>
      <w:r w:rsidRPr="0052569D">
        <w:rPr>
          <w:rFonts w:cs="Arial"/>
          <w:szCs w:val="24"/>
        </w:rPr>
        <w:t xml:space="preserve">The Commissioner’s primary objectives for the investment of </w:t>
      </w:r>
      <w:r w:rsidR="00DA79EF" w:rsidRPr="0052569D">
        <w:rPr>
          <w:rFonts w:cs="Arial"/>
          <w:szCs w:val="24"/>
        </w:rPr>
        <w:t>hi</w:t>
      </w:r>
      <w:r w:rsidRPr="0052569D">
        <w:rPr>
          <w:rFonts w:cs="Arial"/>
          <w:szCs w:val="24"/>
        </w:rPr>
        <w:t>s surplus funds are to protect the principal sums invested from loss, and to ensure adequate liquidity so that funds are available for expenditure when needed.  The generation of investment income to support the provision of services is an important, but secondary, objective.</w:t>
      </w:r>
    </w:p>
    <w:p w14:paraId="5A84FFC2" w14:textId="77777777" w:rsidR="00115EE2" w:rsidRPr="0052569D" w:rsidRDefault="00115EE2" w:rsidP="00115EE2">
      <w:pPr>
        <w:jc w:val="both"/>
        <w:rPr>
          <w:rFonts w:cs="Arial"/>
          <w:szCs w:val="24"/>
        </w:rPr>
      </w:pPr>
    </w:p>
    <w:p w14:paraId="3B548D38" w14:textId="77777777" w:rsidR="00115EE2" w:rsidRDefault="00115EE2" w:rsidP="00115EE2">
      <w:pPr>
        <w:jc w:val="both"/>
        <w:rPr>
          <w:rFonts w:cs="Arial"/>
          <w:szCs w:val="24"/>
        </w:rPr>
      </w:pPr>
      <w:r w:rsidRPr="0052569D">
        <w:rPr>
          <w:rFonts w:cs="Arial"/>
          <w:szCs w:val="24"/>
        </w:rPr>
        <w:t>The Commissioner will have regard to the Communities and Local Government Guidance on Local Government Investments and will approve an investment strategy each year as part of the treasury management strategy.  The strategy will set criteria to determine suitable organisations with which cash may be invested, limits on the maximum duration of such investments and limits on the amount of cash that may be invested with any one organisation.</w:t>
      </w:r>
    </w:p>
    <w:sectPr w:rsidR="00115EE2" w:rsidSect="00FB1027">
      <w:pgSz w:w="11907" w:h="16840" w:code="9"/>
      <w:pgMar w:top="851" w:right="851" w:bottom="851" w:left="851" w:header="284" w:footer="306" w:gutter="0"/>
      <w:paperSrc w:first="7" w:other="7"/>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6D2FA" w14:textId="77777777" w:rsidR="00E22AE8" w:rsidRDefault="00E22AE8">
      <w:r>
        <w:separator/>
      </w:r>
    </w:p>
  </w:endnote>
  <w:endnote w:type="continuationSeparator" w:id="0">
    <w:p w14:paraId="52544ACC" w14:textId="77777777" w:rsidR="00E22AE8" w:rsidRDefault="00E2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DE3FF" w14:textId="77777777" w:rsidR="00E22AE8" w:rsidRDefault="00E22AE8">
      <w:r>
        <w:separator/>
      </w:r>
    </w:p>
  </w:footnote>
  <w:footnote w:type="continuationSeparator" w:id="0">
    <w:p w14:paraId="33E0B822" w14:textId="77777777" w:rsidR="00E22AE8" w:rsidRDefault="00E22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25C72" w14:textId="6AD2CBD7" w:rsidR="00E22AE8" w:rsidRDefault="00E22AE8" w:rsidP="00BD07B9">
    <w:pPr>
      <w:pStyle w:val="Header"/>
      <w:jc w:val="right"/>
    </w:pPr>
    <w: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2F0CDFC"/>
    <w:lvl w:ilvl="0">
      <w:numFmt w:val="decimal"/>
      <w:lvlText w:val="*"/>
      <w:lvlJc w:val="left"/>
      <w:rPr>
        <w:rFonts w:cs="Times New Roman"/>
      </w:rPr>
    </w:lvl>
  </w:abstractNum>
  <w:abstractNum w:abstractNumId="1" w15:restartNumberingAfterBreak="0">
    <w:nsid w:val="02830A74"/>
    <w:multiLevelType w:val="hybridMultilevel"/>
    <w:tmpl w:val="7ECCDE0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15:restartNumberingAfterBreak="0">
    <w:nsid w:val="049F7312"/>
    <w:multiLevelType w:val="hybridMultilevel"/>
    <w:tmpl w:val="B49C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01436"/>
    <w:multiLevelType w:val="hybridMultilevel"/>
    <w:tmpl w:val="1C3A5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B433C"/>
    <w:multiLevelType w:val="hybridMultilevel"/>
    <w:tmpl w:val="28FA5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32292"/>
    <w:multiLevelType w:val="singleLevel"/>
    <w:tmpl w:val="7750D954"/>
    <w:lvl w:ilvl="0">
      <w:start w:val="1"/>
      <w:numFmt w:val="bullet"/>
      <w:lvlText w:val=""/>
      <w:lvlJc w:val="left"/>
      <w:pPr>
        <w:tabs>
          <w:tab w:val="num" w:pos="360"/>
        </w:tabs>
        <w:ind w:left="360" w:hanging="360"/>
      </w:pPr>
      <w:rPr>
        <w:rFonts w:ascii="Symbol" w:hAnsi="Symbol" w:hint="default"/>
        <w:sz w:val="20"/>
      </w:rPr>
    </w:lvl>
  </w:abstractNum>
  <w:abstractNum w:abstractNumId="6" w15:restartNumberingAfterBreak="0">
    <w:nsid w:val="0CD32D2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3F1A77"/>
    <w:multiLevelType w:val="hybridMultilevel"/>
    <w:tmpl w:val="166EE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6C17E6"/>
    <w:multiLevelType w:val="hybridMultilevel"/>
    <w:tmpl w:val="302A2CFC"/>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A04527B"/>
    <w:multiLevelType w:val="hybridMultilevel"/>
    <w:tmpl w:val="117059B8"/>
    <w:lvl w:ilvl="0" w:tplc="B0C645C8">
      <w:start w:val="5"/>
      <w:numFmt w:val="bullet"/>
      <w:lvlText w:val="•"/>
      <w:lvlJc w:val="left"/>
      <w:pPr>
        <w:ind w:left="1080" w:hanging="72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D06056"/>
    <w:multiLevelType w:val="hybridMultilevel"/>
    <w:tmpl w:val="C92E8518"/>
    <w:lvl w:ilvl="0" w:tplc="5D20F30E">
      <w:start w:val="1"/>
      <w:numFmt w:val="bullet"/>
      <w:lvlText w:val="•"/>
      <w:lvlJc w:val="left"/>
      <w:pPr>
        <w:ind w:left="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3A7638">
      <w:start w:val="1"/>
      <w:numFmt w:val="bullet"/>
      <w:lvlText w:val="o"/>
      <w:lvlJc w:val="left"/>
      <w:pPr>
        <w:ind w:left="16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AA2FE4">
      <w:start w:val="1"/>
      <w:numFmt w:val="bullet"/>
      <w:lvlText w:val="▪"/>
      <w:lvlJc w:val="left"/>
      <w:pPr>
        <w:ind w:left="23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B6B004">
      <w:start w:val="1"/>
      <w:numFmt w:val="bullet"/>
      <w:lvlText w:val="•"/>
      <w:lvlJc w:val="left"/>
      <w:pPr>
        <w:ind w:left="3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683802">
      <w:start w:val="1"/>
      <w:numFmt w:val="bullet"/>
      <w:lvlText w:val="o"/>
      <w:lvlJc w:val="left"/>
      <w:pPr>
        <w:ind w:left="37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043164">
      <w:start w:val="1"/>
      <w:numFmt w:val="bullet"/>
      <w:lvlText w:val="▪"/>
      <w:lvlJc w:val="left"/>
      <w:pPr>
        <w:ind w:left="4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0618B0">
      <w:start w:val="1"/>
      <w:numFmt w:val="bullet"/>
      <w:lvlText w:val="•"/>
      <w:lvlJc w:val="left"/>
      <w:pPr>
        <w:ind w:left="5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1A24C6">
      <w:start w:val="1"/>
      <w:numFmt w:val="bullet"/>
      <w:lvlText w:val="o"/>
      <w:lvlJc w:val="left"/>
      <w:pPr>
        <w:ind w:left="59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50D614">
      <w:start w:val="1"/>
      <w:numFmt w:val="bullet"/>
      <w:lvlText w:val="▪"/>
      <w:lvlJc w:val="left"/>
      <w:pPr>
        <w:ind w:left="6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B6A6B15"/>
    <w:multiLevelType w:val="hybridMultilevel"/>
    <w:tmpl w:val="8082A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865726"/>
    <w:multiLevelType w:val="singleLevel"/>
    <w:tmpl w:val="4FD05746"/>
    <w:lvl w:ilvl="0">
      <w:start w:val="1"/>
      <w:numFmt w:val="bullet"/>
      <w:lvlText w:val=""/>
      <w:lvlJc w:val="left"/>
      <w:pPr>
        <w:tabs>
          <w:tab w:val="num" w:pos="720"/>
        </w:tabs>
        <w:ind w:firstLine="360"/>
      </w:pPr>
      <w:rPr>
        <w:rFonts w:ascii="Symbol" w:hAnsi="Symbol" w:hint="default"/>
        <w:sz w:val="24"/>
      </w:rPr>
    </w:lvl>
  </w:abstractNum>
  <w:abstractNum w:abstractNumId="13" w15:restartNumberingAfterBreak="0">
    <w:nsid w:val="254C128A"/>
    <w:multiLevelType w:val="hybridMultilevel"/>
    <w:tmpl w:val="FAEE3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5F7F17"/>
    <w:multiLevelType w:val="hybridMultilevel"/>
    <w:tmpl w:val="E0BE9398"/>
    <w:lvl w:ilvl="0" w:tplc="0809000F">
      <w:start w:val="1"/>
      <w:numFmt w:val="decimal"/>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15" w15:restartNumberingAfterBreak="0">
    <w:nsid w:val="2B4D748F"/>
    <w:multiLevelType w:val="hybridMultilevel"/>
    <w:tmpl w:val="CA827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3E54A1"/>
    <w:multiLevelType w:val="hybridMultilevel"/>
    <w:tmpl w:val="E1B69464"/>
    <w:lvl w:ilvl="0" w:tplc="4E38487C">
      <w:start w:val="1"/>
      <w:numFmt w:val="bullet"/>
      <w:lvlText w:val=""/>
      <w:lvlJc w:val="left"/>
      <w:pPr>
        <w:tabs>
          <w:tab w:val="num" w:pos="720"/>
        </w:tabs>
        <w:ind w:left="720" w:hanging="360"/>
      </w:pPr>
      <w:rPr>
        <w:rFonts w:ascii="Symbol" w:hAnsi="Symbol" w:hint="default"/>
        <w:color w:val="005B82"/>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504F5A"/>
    <w:multiLevelType w:val="singleLevel"/>
    <w:tmpl w:val="E0327D12"/>
    <w:lvl w:ilvl="0">
      <w:start w:val="1"/>
      <w:numFmt w:val="lowerLetter"/>
      <w:lvlText w:val="(%1)"/>
      <w:lvlJc w:val="left"/>
      <w:pPr>
        <w:tabs>
          <w:tab w:val="num" w:pos="720"/>
        </w:tabs>
        <w:ind w:left="720" w:hanging="720"/>
      </w:pPr>
      <w:rPr>
        <w:rFonts w:cs="Times New Roman" w:hint="default"/>
      </w:rPr>
    </w:lvl>
  </w:abstractNum>
  <w:abstractNum w:abstractNumId="18" w15:restartNumberingAfterBreak="0">
    <w:nsid w:val="34107D36"/>
    <w:multiLevelType w:val="hybridMultilevel"/>
    <w:tmpl w:val="CC80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D4745D"/>
    <w:multiLevelType w:val="hybridMultilevel"/>
    <w:tmpl w:val="D1729F24"/>
    <w:lvl w:ilvl="0" w:tplc="2438E694">
      <w:start w:val="1"/>
      <w:numFmt w:val="bullet"/>
      <w:lvlText w:val=""/>
      <w:legacy w:legacy="1" w:legacySpace="0" w:legacyIndent="283"/>
      <w:lvlJc w:val="left"/>
      <w:pPr>
        <w:ind w:left="1363" w:hanging="283"/>
      </w:pPr>
      <w:rPr>
        <w:rFonts w:ascii="Symbol" w:hAnsi="Symbol" w:hint="default"/>
        <w:sz w:val="12"/>
        <w:szCs w:val="1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90D7574"/>
    <w:multiLevelType w:val="hybridMultilevel"/>
    <w:tmpl w:val="20E67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BA5C00"/>
    <w:multiLevelType w:val="hybridMultilevel"/>
    <w:tmpl w:val="5B52D8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E561B3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9C5DEC"/>
    <w:multiLevelType w:val="hybridMultilevel"/>
    <w:tmpl w:val="C4907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066959"/>
    <w:multiLevelType w:val="hybridMultilevel"/>
    <w:tmpl w:val="77CEA20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8B74C67"/>
    <w:multiLevelType w:val="singleLevel"/>
    <w:tmpl w:val="55A8656E"/>
    <w:lvl w:ilvl="0">
      <w:start w:val="1"/>
      <w:numFmt w:val="decimal"/>
      <w:lvlText w:val="%1."/>
      <w:lvlJc w:val="left"/>
      <w:pPr>
        <w:tabs>
          <w:tab w:val="num" w:pos="4405"/>
        </w:tabs>
        <w:ind w:left="4405" w:hanging="720"/>
      </w:pPr>
      <w:rPr>
        <w:rFonts w:cs="Times New Roman"/>
      </w:rPr>
    </w:lvl>
  </w:abstractNum>
  <w:abstractNum w:abstractNumId="26" w15:restartNumberingAfterBreak="0">
    <w:nsid w:val="4A171FAA"/>
    <w:multiLevelType w:val="hybridMultilevel"/>
    <w:tmpl w:val="D0AA99DC"/>
    <w:lvl w:ilvl="0" w:tplc="B0C645C8">
      <w:start w:val="5"/>
      <w:numFmt w:val="bullet"/>
      <w:lvlText w:val="•"/>
      <w:lvlJc w:val="left"/>
      <w:pPr>
        <w:ind w:left="1080" w:hanging="720"/>
      </w:pPr>
      <w:rPr>
        <w:rFonts w:ascii="Trebuchet MS" w:eastAsia="Calibri"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37190C"/>
    <w:multiLevelType w:val="hybridMultilevel"/>
    <w:tmpl w:val="7D36E21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4E0A1BE1"/>
    <w:multiLevelType w:val="singleLevel"/>
    <w:tmpl w:val="7750D954"/>
    <w:lvl w:ilvl="0">
      <w:start w:val="1"/>
      <w:numFmt w:val="bullet"/>
      <w:lvlText w:val=""/>
      <w:lvlJc w:val="left"/>
      <w:pPr>
        <w:tabs>
          <w:tab w:val="num" w:pos="360"/>
        </w:tabs>
        <w:ind w:left="360" w:hanging="360"/>
      </w:pPr>
      <w:rPr>
        <w:rFonts w:ascii="Symbol" w:hAnsi="Symbol" w:hint="default"/>
        <w:sz w:val="20"/>
      </w:rPr>
    </w:lvl>
  </w:abstractNum>
  <w:abstractNum w:abstractNumId="29" w15:restartNumberingAfterBreak="0">
    <w:nsid w:val="53AA6FBD"/>
    <w:multiLevelType w:val="hybridMultilevel"/>
    <w:tmpl w:val="F496B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CB2933"/>
    <w:multiLevelType w:val="hybridMultilevel"/>
    <w:tmpl w:val="6BF05B9A"/>
    <w:lvl w:ilvl="0" w:tplc="0809000B">
      <w:start w:val="1"/>
      <w:numFmt w:val="bullet"/>
      <w:lvlText w:val=""/>
      <w:lvlJc w:val="left"/>
      <w:pPr>
        <w:ind w:left="754"/>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B3A7638">
      <w:start w:val="1"/>
      <w:numFmt w:val="bullet"/>
      <w:lvlText w:val="o"/>
      <w:lvlJc w:val="left"/>
      <w:pPr>
        <w:ind w:left="16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AA2FE4">
      <w:start w:val="1"/>
      <w:numFmt w:val="bullet"/>
      <w:lvlText w:val="▪"/>
      <w:lvlJc w:val="left"/>
      <w:pPr>
        <w:ind w:left="23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B6B004">
      <w:start w:val="1"/>
      <w:numFmt w:val="bullet"/>
      <w:lvlText w:val="•"/>
      <w:lvlJc w:val="left"/>
      <w:pPr>
        <w:ind w:left="3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683802">
      <w:start w:val="1"/>
      <w:numFmt w:val="bullet"/>
      <w:lvlText w:val="o"/>
      <w:lvlJc w:val="left"/>
      <w:pPr>
        <w:ind w:left="37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043164">
      <w:start w:val="1"/>
      <w:numFmt w:val="bullet"/>
      <w:lvlText w:val="▪"/>
      <w:lvlJc w:val="left"/>
      <w:pPr>
        <w:ind w:left="4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0618B0">
      <w:start w:val="1"/>
      <w:numFmt w:val="bullet"/>
      <w:lvlText w:val="•"/>
      <w:lvlJc w:val="left"/>
      <w:pPr>
        <w:ind w:left="5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1A24C6">
      <w:start w:val="1"/>
      <w:numFmt w:val="bullet"/>
      <w:lvlText w:val="o"/>
      <w:lvlJc w:val="left"/>
      <w:pPr>
        <w:ind w:left="59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50D614">
      <w:start w:val="1"/>
      <w:numFmt w:val="bullet"/>
      <w:lvlText w:val="▪"/>
      <w:lvlJc w:val="left"/>
      <w:pPr>
        <w:ind w:left="6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A3F6520"/>
    <w:multiLevelType w:val="hybridMultilevel"/>
    <w:tmpl w:val="95F8EA3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5F074FC7"/>
    <w:multiLevelType w:val="hybridMultilevel"/>
    <w:tmpl w:val="A1387C7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CE68F1"/>
    <w:multiLevelType w:val="singleLevel"/>
    <w:tmpl w:val="E1806CE6"/>
    <w:lvl w:ilvl="0">
      <w:start w:val="1"/>
      <w:numFmt w:val="decimal"/>
      <w:lvlText w:val="%1."/>
      <w:lvlJc w:val="left"/>
      <w:pPr>
        <w:tabs>
          <w:tab w:val="num" w:pos="720"/>
        </w:tabs>
        <w:ind w:left="720" w:hanging="720"/>
      </w:pPr>
      <w:rPr>
        <w:rFonts w:cs="Times New Roman"/>
      </w:rPr>
    </w:lvl>
  </w:abstractNum>
  <w:abstractNum w:abstractNumId="34" w15:restartNumberingAfterBreak="0">
    <w:nsid w:val="62A77774"/>
    <w:multiLevelType w:val="multilevel"/>
    <w:tmpl w:val="A0B6146C"/>
    <w:lvl w:ilvl="0">
      <w:start w:val="1"/>
      <w:numFmt w:val="lowerLetter"/>
      <w:lvlText w:val="%1)"/>
      <w:lvlJc w:val="left"/>
      <w:pPr>
        <w:tabs>
          <w:tab w:val="num" w:pos="360"/>
        </w:tabs>
        <w:ind w:left="360" w:hanging="36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Zero"/>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45D1E5C"/>
    <w:multiLevelType w:val="hybridMultilevel"/>
    <w:tmpl w:val="95A67E40"/>
    <w:lvl w:ilvl="0" w:tplc="D34A783C">
      <w:start w:val="1"/>
      <w:numFmt w:val="decimal"/>
      <w:lvlText w:val="%1."/>
      <w:lvlJc w:val="left"/>
      <w:pPr>
        <w:tabs>
          <w:tab w:val="num" w:pos="720"/>
        </w:tabs>
        <w:ind w:left="720" w:hanging="360"/>
      </w:pPr>
      <w:rPr>
        <w:rFonts w:hint="default"/>
        <w:b w:val="0"/>
        <w:i w:val="0"/>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8A5E92"/>
    <w:multiLevelType w:val="hybridMultilevel"/>
    <w:tmpl w:val="6E0C4CDA"/>
    <w:lvl w:ilvl="0" w:tplc="0809000F">
      <w:start w:val="5"/>
      <w:numFmt w:val="decimal"/>
      <w:lvlText w:val="%1."/>
      <w:lvlJc w:val="left"/>
      <w:pPr>
        <w:tabs>
          <w:tab w:val="num" w:pos="502"/>
        </w:tabs>
        <w:ind w:left="502" w:hanging="360"/>
      </w:pPr>
      <w:rPr>
        <w:rFonts w:cs="Times New Roman" w:hint="default"/>
      </w:rPr>
    </w:lvl>
    <w:lvl w:ilvl="1" w:tplc="08090019" w:tentative="1">
      <w:start w:val="1"/>
      <w:numFmt w:val="lowerLetter"/>
      <w:lvlText w:val="%2."/>
      <w:lvlJc w:val="left"/>
      <w:pPr>
        <w:tabs>
          <w:tab w:val="num" w:pos="1222"/>
        </w:tabs>
        <w:ind w:left="1222" w:hanging="360"/>
      </w:pPr>
      <w:rPr>
        <w:rFonts w:cs="Times New Roman"/>
      </w:rPr>
    </w:lvl>
    <w:lvl w:ilvl="2" w:tplc="0809001B" w:tentative="1">
      <w:start w:val="1"/>
      <w:numFmt w:val="lowerRoman"/>
      <w:lvlText w:val="%3."/>
      <w:lvlJc w:val="right"/>
      <w:pPr>
        <w:tabs>
          <w:tab w:val="num" w:pos="1942"/>
        </w:tabs>
        <w:ind w:left="1942" w:hanging="180"/>
      </w:pPr>
      <w:rPr>
        <w:rFonts w:cs="Times New Roman"/>
      </w:rPr>
    </w:lvl>
    <w:lvl w:ilvl="3" w:tplc="0809000F" w:tentative="1">
      <w:start w:val="1"/>
      <w:numFmt w:val="decimal"/>
      <w:lvlText w:val="%4."/>
      <w:lvlJc w:val="left"/>
      <w:pPr>
        <w:tabs>
          <w:tab w:val="num" w:pos="2662"/>
        </w:tabs>
        <w:ind w:left="2662" w:hanging="360"/>
      </w:pPr>
      <w:rPr>
        <w:rFonts w:cs="Times New Roman"/>
      </w:rPr>
    </w:lvl>
    <w:lvl w:ilvl="4" w:tplc="08090019" w:tentative="1">
      <w:start w:val="1"/>
      <w:numFmt w:val="lowerLetter"/>
      <w:lvlText w:val="%5."/>
      <w:lvlJc w:val="left"/>
      <w:pPr>
        <w:tabs>
          <w:tab w:val="num" w:pos="3382"/>
        </w:tabs>
        <w:ind w:left="3382" w:hanging="360"/>
      </w:pPr>
      <w:rPr>
        <w:rFonts w:cs="Times New Roman"/>
      </w:rPr>
    </w:lvl>
    <w:lvl w:ilvl="5" w:tplc="0809001B" w:tentative="1">
      <w:start w:val="1"/>
      <w:numFmt w:val="lowerRoman"/>
      <w:lvlText w:val="%6."/>
      <w:lvlJc w:val="right"/>
      <w:pPr>
        <w:tabs>
          <w:tab w:val="num" w:pos="4102"/>
        </w:tabs>
        <w:ind w:left="4102" w:hanging="180"/>
      </w:pPr>
      <w:rPr>
        <w:rFonts w:cs="Times New Roman"/>
      </w:rPr>
    </w:lvl>
    <w:lvl w:ilvl="6" w:tplc="0809000F" w:tentative="1">
      <w:start w:val="1"/>
      <w:numFmt w:val="decimal"/>
      <w:lvlText w:val="%7."/>
      <w:lvlJc w:val="left"/>
      <w:pPr>
        <w:tabs>
          <w:tab w:val="num" w:pos="4822"/>
        </w:tabs>
        <w:ind w:left="4822" w:hanging="360"/>
      </w:pPr>
      <w:rPr>
        <w:rFonts w:cs="Times New Roman"/>
      </w:rPr>
    </w:lvl>
    <w:lvl w:ilvl="7" w:tplc="08090019" w:tentative="1">
      <w:start w:val="1"/>
      <w:numFmt w:val="lowerLetter"/>
      <w:lvlText w:val="%8."/>
      <w:lvlJc w:val="left"/>
      <w:pPr>
        <w:tabs>
          <w:tab w:val="num" w:pos="5542"/>
        </w:tabs>
        <w:ind w:left="5542" w:hanging="360"/>
      </w:pPr>
      <w:rPr>
        <w:rFonts w:cs="Times New Roman"/>
      </w:rPr>
    </w:lvl>
    <w:lvl w:ilvl="8" w:tplc="0809001B" w:tentative="1">
      <w:start w:val="1"/>
      <w:numFmt w:val="lowerRoman"/>
      <w:lvlText w:val="%9."/>
      <w:lvlJc w:val="right"/>
      <w:pPr>
        <w:tabs>
          <w:tab w:val="num" w:pos="6262"/>
        </w:tabs>
        <w:ind w:left="6262" w:hanging="180"/>
      </w:pPr>
      <w:rPr>
        <w:rFonts w:cs="Times New Roman"/>
      </w:rPr>
    </w:lvl>
  </w:abstractNum>
  <w:abstractNum w:abstractNumId="37" w15:restartNumberingAfterBreak="0">
    <w:nsid w:val="65610344"/>
    <w:multiLevelType w:val="hybridMultilevel"/>
    <w:tmpl w:val="F6F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8C0F2F"/>
    <w:multiLevelType w:val="singleLevel"/>
    <w:tmpl w:val="D40A39F0"/>
    <w:lvl w:ilvl="0">
      <w:start w:val="2"/>
      <w:numFmt w:val="bullet"/>
      <w:lvlText w:val="-"/>
      <w:lvlJc w:val="left"/>
      <w:pPr>
        <w:tabs>
          <w:tab w:val="num" w:pos="825"/>
        </w:tabs>
        <w:ind w:left="825" w:hanging="465"/>
      </w:pPr>
      <w:rPr>
        <w:rFonts w:ascii="Times New Roman" w:hAnsi="Times New Roman" w:hint="default"/>
      </w:rPr>
    </w:lvl>
  </w:abstractNum>
  <w:abstractNum w:abstractNumId="39" w15:restartNumberingAfterBreak="0">
    <w:nsid w:val="70902300"/>
    <w:multiLevelType w:val="hybridMultilevel"/>
    <w:tmpl w:val="CCBCBED8"/>
    <w:lvl w:ilvl="0" w:tplc="22F0CDFC">
      <w:start w:val="1"/>
      <w:numFmt w:val="bullet"/>
      <w:lvlText w:val=""/>
      <w:legacy w:legacy="1" w:legacySpace="0" w:legacyIndent="283"/>
      <w:lvlJc w:val="left"/>
      <w:pPr>
        <w:ind w:left="993" w:hanging="283"/>
      </w:pPr>
      <w:rPr>
        <w:rFonts w:ascii="Symbol" w:hAnsi="Symbol" w:cs="Symbol" w:hint="default"/>
        <w:sz w:val="18"/>
        <w:szCs w:val="18"/>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15:restartNumberingAfterBreak="0">
    <w:nsid w:val="71D42856"/>
    <w:multiLevelType w:val="hybridMultilevel"/>
    <w:tmpl w:val="EC32BCDA"/>
    <w:lvl w:ilvl="0" w:tplc="B810E544">
      <w:start w:val="1"/>
      <w:numFmt w:val="lowerLetter"/>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79F33FD6"/>
    <w:multiLevelType w:val="hybridMultilevel"/>
    <w:tmpl w:val="4E4AFF2E"/>
    <w:lvl w:ilvl="0" w:tplc="B0C645C8">
      <w:start w:val="5"/>
      <w:numFmt w:val="bullet"/>
      <w:lvlText w:val="•"/>
      <w:lvlJc w:val="left"/>
      <w:pPr>
        <w:ind w:left="1080" w:hanging="720"/>
      </w:pPr>
      <w:rPr>
        <w:rFonts w:ascii="Trebuchet MS" w:eastAsia="Calibri"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64227B"/>
    <w:multiLevelType w:val="hybridMultilevel"/>
    <w:tmpl w:val="066A6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F731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BAD6844"/>
    <w:multiLevelType w:val="hybridMultilevel"/>
    <w:tmpl w:val="890A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C90C1B"/>
    <w:multiLevelType w:val="hybridMultilevel"/>
    <w:tmpl w:val="4DE4B1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7"/>
  </w:num>
  <w:num w:numId="3">
    <w:abstractNumId w:val="12"/>
  </w:num>
  <w:num w:numId="4">
    <w:abstractNumId w:val="5"/>
  </w:num>
  <w:num w:numId="5">
    <w:abstractNumId w:val="33"/>
  </w:num>
  <w:num w:numId="6">
    <w:abstractNumId w:val="25"/>
  </w:num>
  <w:num w:numId="7">
    <w:abstractNumId w:val="28"/>
  </w:num>
  <w:num w:numId="8">
    <w:abstractNumId w:val="38"/>
  </w:num>
  <w:num w:numId="9">
    <w:abstractNumId w:val="36"/>
  </w:num>
  <w:num w:numId="10">
    <w:abstractNumId w:val="34"/>
  </w:num>
  <w:num w:numId="11">
    <w:abstractNumId w:val="16"/>
  </w:num>
  <w:num w:numId="12">
    <w:abstractNumId w:val="0"/>
    <w:lvlOverride w:ilvl="0">
      <w:lvl w:ilvl="0">
        <w:start w:val="1"/>
        <w:numFmt w:val="bullet"/>
        <w:lvlText w:val=""/>
        <w:legacy w:legacy="1" w:legacySpace="0" w:legacyIndent="283"/>
        <w:lvlJc w:val="left"/>
        <w:pPr>
          <w:ind w:left="567" w:hanging="283"/>
        </w:pPr>
        <w:rPr>
          <w:rFonts w:ascii="Symbol" w:hAnsi="Symbol" w:hint="default"/>
          <w:sz w:val="18"/>
        </w:rPr>
      </w:lvl>
    </w:lvlOverride>
  </w:num>
  <w:num w:numId="13">
    <w:abstractNumId w:val="15"/>
  </w:num>
  <w:num w:numId="14">
    <w:abstractNumId w:val="40"/>
  </w:num>
  <w:num w:numId="15">
    <w:abstractNumId w:val="14"/>
  </w:num>
  <w:num w:numId="16">
    <w:abstractNumId w:val="27"/>
  </w:num>
  <w:num w:numId="17">
    <w:abstractNumId w:val="0"/>
    <w:lvlOverride w:ilvl="0">
      <w:lvl w:ilvl="0">
        <w:start w:val="1"/>
        <w:numFmt w:val="bullet"/>
        <w:lvlText w:val=""/>
        <w:legacy w:legacy="1" w:legacySpace="0" w:legacyIndent="284"/>
        <w:lvlJc w:val="left"/>
        <w:pPr>
          <w:ind w:left="1004" w:hanging="284"/>
        </w:pPr>
        <w:rPr>
          <w:rFonts w:ascii="Symbol" w:hAnsi="Symbol" w:hint="default"/>
          <w:sz w:val="16"/>
          <w:szCs w:val="16"/>
        </w:rPr>
      </w:lvl>
    </w:lvlOverride>
  </w:num>
  <w:num w:numId="18">
    <w:abstractNumId w:val="8"/>
  </w:num>
  <w:num w:numId="19">
    <w:abstractNumId w:val="35"/>
  </w:num>
  <w:num w:numId="20">
    <w:abstractNumId w:val="0"/>
    <w:lvlOverride w:ilvl="0">
      <w:lvl w:ilvl="0">
        <w:start w:val="1"/>
        <w:numFmt w:val="bullet"/>
        <w:lvlText w:val=""/>
        <w:legacy w:legacy="1" w:legacySpace="0" w:legacyIndent="283"/>
        <w:lvlJc w:val="left"/>
        <w:pPr>
          <w:ind w:left="709" w:hanging="283"/>
        </w:pPr>
        <w:rPr>
          <w:rFonts w:ascii="Symbol" w:hAnsi="Symbol" w:hint="default"/>
          <w:sz w:val="18"/>
          <w:szCs w:val="18"/>
        </w:rPr>
      </w:lvl>
    </w:lvlOverride>
  </w:num>
  <w:num w:numId="21">
    <w:abstractNumId w:val="31"/>
  </w:num>
  <w:num w:numId="22">
    <w:abstractNumId w:val="0"/>
    <w:lvlOverride w:ilvl="0">
      <w:lvl w:ilvl="0">
        <w:start w:val="1"/>
        <w:numFmt w:val="bullet"/>
        <w:lvlText w:val=""/>
        <w:legacy w:legacy="1" w:legacySpace="0" w:legacyIndent="283"/>
        <w:lvlJc w:val="left"/>
        <w:pPr>
          <w:ind w:left="567" w:hanging="283"/>
        </w:pPr>
        <w:rPr>
          <w:rFonts w:ascii="Symbol" w:hAnsi="Symbol" w:cs="Symbol" w:hint="default"/>
          <w:sz w:val="18"/>
          <w:szCs w:val="18"/>
        </w:rPr>
      </w:lvl>
    </w:lvlOverride>
  </w:num>
  <w:num w:numId="23">
    <w:abstractNumId w:val="39"/>
  </w:num>
  <w:num w:numId="24">
    <w:abstractNumId w:val="24"/>
  </w:num>
  <w:num w:numId="25">
    <w:abstractNumId w:val="21"/>
  </w:num>
  <w:num w:numId="26">
    <w:abstractNumId w:val="23"/>
  </w:num>
  <w:num w:numId="27">
    <w:abstractNumId w:val="13"/>
  </w:num>
  <w:num w:numId="28">
    <w:abstractNumId w:val="37"/>
  </w:num>
  <w:num w:numId="29">
    <w:abstractNumId w:val="2"/>
  </w:num>
  <w:num w:numId="30">
    <w:abstractNumId w:val="26"/>
  </w:num>
  <w:num w:numId="31">
    <w:abstractNumId w:val="41"/>
  </w:num>
  <w:num w:numId="32">
    <w:abstractNumId w:val="9"/>
  </w:num>
  <w:num w:numId="33">
    <w:abstractNumId w:val="19"/>
  </w:num>
  <w:num w:numId="34">
    <w:abstractNumId w:val="10"/>
  </w:num>
  <w:num w:numId="35">
    <w:abstractNumId w:val="1"/>
  </w:num>
  <w:num w:numId="36">
    <w:abstractNumId w:val="29"/>
  </w:num>
  <w:num w:numId="37">
    <w:abstractNumId w:val="7"/>
  </w:num>
  <w:num w:numId="38">
    <w:abstractNumId w:val="42"/>
  </w:num>
  <w:num w:numId="39">
    <w:abstractNumId w:val="18"/>
  </w:num>
  <w:num w:numId="40">
    <w:abstractNumId w:val="30"/>
  </w:num>
  <w:num w:numId="41">
    <w:abstractNumId w:val="20"/>
  </w:num>
  <w:num w:numId="42">
    <w:abstractNumId w:val="11"/>
  </w:num>
  <w:num w:numId="43">
    <w:abstractNumId w:val="44"/>
  </w:num>
  <w:num w:numId="44">
    <w:abstractNumId w:val="4"/>
  </w:num>
  <w:num w:numId="45">
    <w:abstractNumId w:val="32"/>
  </w:num>
  <w:num w:numId="46">
    <w:abstractNumId w:val="45"/>
  </w:num>
  <w:num w:numId="47">
    <w:abstractNumId w:val="43"/>
  </w:num>
  <w:num w:numId="48">
    <w:abstractNumId w:val="22"/>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3F1"/>
    <w:rsid w:val="00003413"/>
    <w:rsid w:val="00011AEB"/>
    <w:rsid w:val="00030CC9"/>
    <w:rsid w:val="00031E1B"/>
    <w:rsid w:val="00032017"/>
    <w:rsid w:val="00035C99"/>
    <w:rsid w:val="000376E1"/>
    <w:rsid w:val="00041D65"/>
    <w:rsid w:val="00042121"/>
    <w:rsid w:val="00043796"/>
    <w:rsid w:val="00044334"/>
    <w:rsid w:val="00044A04"/>
    <w:rsid w:val="00045BD5"/>
    <w:rsid w:val="00046582"/>
    <w:rsid w:val="00047E6D"/>
    <w:rsid w:val="000512F1"/>
    <w:rsid w:val="00052D1B"/>
    <w:rsid w:val="000536A0"/>
    <w:rsid w:val="000807E4"/>
    <w:rsid w:val="00080918"/>
    <w:rsid w:val="0009035D"/>
    <w:rsid w:val="000A6B2B"/>
    <w:rsid w:val="000B35B6"/>
    <w:rsid w:val="000C1398"/>
    <w:rsid w:val="000C1A41"/>
    <w:rsid w:val="000C3958"/>
    <w:rsid w:val="000C4B81"/>
    <w:rsid w:val="000D167D"/>
    <w:rsid w:val="000D66E4"/>
    <w:rsid w:val="000E1D0C"/>
    <w:rsid w:val="000E4FD7"/>
    <w:rsid w:val="000E6114"/>
    <w:rsid w:val="000F067E"/>
    <w:rsid w:val="000F2443"/>
    <w:rsid w:val="000F45C6"/>
    <w:rsid w:val="000F6862"/>
    <w:rsid w:val="000F7BB9"/>
    <w:rsid w:val="0010166B"/>
    <w:rsid w:val="00105E93"/>
    <w:rsid w:val="00114D3F"/>
    <w:rsid w:val="00115EE2"/>
    <w:rsid w:val="00121F9C"/>
    <w:rsid w:val="001244FD"/>
    <w:rsid w:val="0013250E"/>
    <w:rsid w:val="00145EB0"/>
    <w:rsid w:val="00146826"/>
    <w:rsid w:val="00150CE8"/>
    <w:rsid w:val="0015224C"/>
    <w:rsid w:val="001528C6"/>
    <w:rsid w:val="001544EC"/>
    <w:rsid w:val="00155FE7"/>
    <w:rsid w:val="00160CC2"/>
    <w:rsid w:val="0016357B"/>
    <w:rsid w:val="00165E55"/>
    <w:rsid w:val="00166A65"/>
    <w:rsid w:val="001700A8"/>
    <w:rsid w:val="00173B4D"/>
    <w:rsid w:val="001842C6"/>
    <w:rsid w:val="00184535"/>
    <w:rsid w:val="00184744"/>
    <w:rsid w:val="00191860"/>
    <w:rsid w:val="001919D2"/>
    <w:rsid w:val="00196349"/>
    <w:rsid w:val="001B37F6"/>
    <w:rsid w:val="001B5EC8"/>
    <w:rsid w:val="001C37E8"/>
    <w:rsid w:val="001C4487"/>
    <w:rsid w:val="001C49CA"/>
    <w:rsid w:val="001D1040"/>
    <w:rsid w:val="001D1463"/>
    <w:rsid w:val="001D4517"/>
    <w:rsid w:val="001D7C8D"/>
    <w:rsid w:val="001E56A4"/>
    <w:rsid w:val="001E641B"/>
    <w:rsid w:val="00203481"/>
    <w:rsid w:val="00222B67"/>
    <w:rsid w:val="00225EBB"/>
    <w:rsid w:val="00230E2D"/>
    <w:rsid w:val="0023343F"/>
    <w:rsid w:val="002369BD"/>
    <w:rsid w:val="00241FE9"/>
    <w:rsid w:val="00243F16"/>
    <w:rsid w:val="002461A6"/>
    <w:rsid w:val="00246955"/>
    <w:rsid w:val="00250976"/>
    <w:rsid w:val="0025193D"/>
    <w:rsid w:val="002576A4"/>
    <w:rsid w:val="00264998"/>
    <w:rsid w:val="0026648A"/>
    <w:rsid w:val="00270253"/>
    <w:rsid w:val="0027125D"/>
    <w:rsid w:val="0027690E"/>
    <w:rsid w:val="0028220B"/>
    <w:rsid w:val="00282E08"/>
    <w:rsid w:val="00284037"/>
    <w:rsid w:val="00284755"/>
    <w:rsid w:val="002A1DEF"/>
    <w:rsid w:val="002A4F13"/>
    <w:rsid w:val="002A6EE2"/>
    <w:rsid w:val="002B56CF"/>
    <w:rsid w:val="002B6292"/>
    <w:rsid w:val="002C0451"/>
    <w:rsid w:val="002C0B77"/>
    <w:rsid w:val="002C159E"/>
    <w:rsid w:val="002C3255"/>
    <w:rsid w:val="002C3BBF"/>
    <w:rsid w:val="002C7F31"/>
    <w:rsid w:val="002E2E4C"/>
    <w:rsid w:val="002E6072"/>
    <w:rsid w:val="002E7E5D"/>
    <w:rsid w:val="003014F1"/>
    <w:rsid w:val="00306B26"/>
    <w:rsid w:val="003113B3"/>
    <w:rsid w:val="0031462F"/>
    <w:rsid w:val="00315FE3"/>
    <w:rsid w:val="00324E3F"/>
    <w:rsid w:val="00325EA4"/>
    <w:rsid w:val="00326A5A"/>
    <w:rsid w:val="00355853"/>
    <w:rsid w:val="00355C94"/>
    <w:rsid w:val="00360C51"/>
    <w:rsid w:val="00362153"/>
    <w:rsid w:val="00380F36"/>
    <w:rsid w:val="00381A3A"/>
    <w:rsid w:val="00385B13"/>
    <w:rsid w:val="003906DC"/>
    <w:rsid w:val="003A0151"/>
    <w:rsid w:val="003A0D0F"/>
    <w:rsid w:val="003A2427"/>
    <w:rsid w:val="003A619A"/>
    <w:rsid w:val="003B2FEF"/>
    <w:rsid w:val="003C2ADF"/>
    <w:rsid w:val="003C4FD9"/>
    <w:rsid w:val="003D1D0C"/>
    <w:rsid w:val="003D4237"/>
    <w:rsid w:val="003D69FE"/>
    <w:rsid w:val="003E03F1"/>
    <w:rsid w:val="003E40D4"/>
    <w:rsid w:val="003F1228"/>
    <w:rsid w:val="003F516C"/>
    <w:rsid w:val="00407FBD"/>
    <w:rsid w:val="00413418"/>
    <w:rsid w:val="004145A9"/>
    <w:rsid w:val="00415E1E"/>
    <w:rsid w:val="004252F3"/>
    <w:rsid w:val="00434BF7"/>
    <w:rsid w:val="00453ED2"/>
    <w:rsid w:val="00470ED0"/>
    <w:rsid w:val="004776A2"/>
    <w:rsid w:val="0048227B"/>
    <w:rsid w:val="0048365D"/>
    <w:rsid w:val="00492947"/>
    <w:rsid w:val="0049533B"/>
    <w:rsid w:val="004A1C08"/>
    <w:rsid w:val="004A2F0F"/>
    <w:rsid w:val="004A4D02"/>
    <w:rsid w:val="004A5647"/>
    <w:rsid w:val="004A701E"/>
    <w:rsid w:val="004B0ABA"/>
    <w:rsid w:val="004B0C07"/>
    <w:rsid w:val="004C1418"/>
    <w:rsid w:val="004C1826"/>
    <w:rsid w:val="004D0385"/>
    <w:rsid w:val="004E1182"/>
    <w:rsid w:val="004E2D50"/>
    <w:rsid w:val="00500217"/>
    <w:rsid w:val="005015B8"/>
    <w:rsid w:val="00505910"/>
    <w:rsid w:val="00506DF8"/>
    <w:rsid w:val="00515DE1"/>
    <w:rsid w:val="005236A7"/>
    <w:rsid w:val="0052569D"/>
    <w:rsid w:val="00532091"/>
    <w:rsid w:val="00535DD4"/>
    <w:rsid w:val="005376DE"/>
    <w:rsid w:val="00541497"/>
    <w:rsid w:val="00544E97"/>
    <w:rsid w:val="005450B2"/>
    <w:rsid w:val="00551C44"/>
    <w:rsid w:val="00553630"/>
    <w:rsid w:val="00564196"/>
    <w:rsid w:val="005645D0"/>
    <w:rsid w:val="005657CF"/>
    <w:rsid w:val="005863F2"/>
    <w:rsid w:val="00586C87"/>
    <w:rsid w:val="0059175A"/>
    <w:rsid w:val="00591826"/>
    <w:rsid w:val="005A60A0"/>
    <w:rsid w:val="005A7ADF"/>
    <w:rsid w:val="005B20B7"/>
    <w:rsid w:val="005B6C0E"/>
    <w:rsid w:val="005C3104"/>
    <w:rsid w:val="005C4EC4"/>
    <w:rsid w:val="005D209B"/>
    <w:rsid w:val="005D4E7C"/>
    <w:rsid w:val="005E0478"/>
    <w:rsid w:val="005E6C6B"/>
    <w:rsid w:val="005F0A89"/>
    <w:rsid w:val="00601558"/>
    <w:rsid w:val="00601C24"/>
    <w:rsid w:val="00602A53"/>
    <w:rsid w:val="00604B1D"/>
    <w:rsid w:val="006060E6"/>
    <w:rsid w:val="00606355"/>
    <w:rsid w:val="00613E68"/>
    <w:rsid w:val="00614CE8"/>
    <w:rsid w:val="00623672"/>
    <w:rsid w:val="006240D8"/>
    <w:rsid w:val="00624FA1"/>
    <w:rsid w:val="006307C8"/>
    <w:rsid w:val="00633A52"/>
    <w:rsid w:val="00637355"/>
    <w:rsid w:val="00647A83"/>
    <w:rsid w:val="00651864"/>
    <w:rsid w:val="00656884"/>
    <w:rsid w:val="00667E45"/>
    <w:rsid w:val="00672CA7"/>
    <w:rsid w:val="00674D2E"/>
    <w:rsid w:val="006815DD"/>
    <w:rsid w:val="006821E8"/>
    <w:rsid w:val="00684632"/>
    <w:rsid w:val="0069231D"/>
    <w:rsid w:val="00693689"/>
    <w:rsid w:val="0069389B"/>
    <w:rsid w:val="006A0110"/>
    <w:rsid w:val="006A05F6"/>
    <w:rsid w:val="006A2CA9"/>
    <w:rsid w:val="006A7D99"/>
    <w:rsid w:val="006B0241"/>
    <w:rsid w:val="006B1438"/>
    <w:rsid w:val="006B15EF"/>
    <w:rsid w:val="006B40E4"/>
    <w:rsid w:val="006B5941"/>
    <w:rsid w:val="006B59BF"/>
    <w:rsid w:val="006B7988"/>
    <w:rsid w:val="006B7A02"/>
    <w:rsid w:val="006D5D1D"/>
    <w:rsid w:val="006E1130"/>
    <w:rsid w:val="006E23A7"/>
    <w:rsid w:val="006F13F9"/>
    <w:rsid w:val="006F1819"/>
    <w:rsid w:val="006F1831"/>
    <w:rsid w:val="00701A68"/>
    <w:rsid w:val="00705456"/>
    <w:rsid w:val="007078AF"/>
    <w:rsid w:val="00707D99"/>
    <w:rsid w:val="00710588"/>
    <w:rsid w:val="00714647"/>
    <w:rsid w:val="00723D08"/>
    <w:rsid w:val="00741505"/>
    <w:rsid w:val="0074287B"/>
    <w:rsid w:val="00750A26"/>
    <w:rsid w:val="00751F20"/>
    <w:rsid w:val="00753E5E"/>
    <w:rsid w:val="007544E8"/>
    <w:rsid w:val="00763128"/>
    <w:rsid w:val="007708A6"/>
    <w:rsid w:val="00771337"/>
    <w:rsid w:val="0077353D"/>
    <w:rsid w:val="007766FE"/>
    <w:rsid w:val="0078475C"/>
    <w:rsid w:val="00785DCB"/>
    <w:rsid w:val="00787CF6"/>
    <w:rsid w:val="00792EE9"/>
    <w:rsid w:val="007A0F10"/>
    <w:rsid w:val="007A3FF5"/>
    <w:rsid w:val="007B560C"/>
    <w:rsid w:val="007D6A63"/>
    <w:rsid w:val="007D7A88"/>
    <w:rsid w:val="007E765E"/>
    <w:rsid w:val="007F1DEF"/>
    <w:rsid w:val="00802477"/>
    <w:rsid w:val="00804B18"/>
    <w:rsid w:val="00810201"/>
    <w:rsid w:val="00817DBD"/>
    <w:rsid w:val="008247B3"/>
    <w:rsid w:val="00825510"/>
    <w:rsid w:val="00825828"/>
    <w:rsid w:val="00826D45"/>
    <w:rsid w:val="00835B4B"/>
    <w:rsid w:val="00835E50"/>
    <w:rsid w:val="00840577"/>
    <w:rsid w:val="00842137"/>
    <w:rsid w:val="00846A62"/>
    <w:rsid w:val="00846F60"/>
    <w:rsid w:val="00850242"/>
    <w:rsid w:val="00853F97"/>
    <w:rsid w:val="008771D1"/>
    <w:rsid w:val="0089356C"/>
    <w:rsid w:val="008A2A20"/>
    <w:rsid w:val="008B397E"/>
    <w:rsid w:val="008B448F"/>
    <w:rsid w:val="008C179D"/>
    <w:rsid w:val="008C2EA3"/>
    <w:rsid w:val="008C66BF"/>
    <w:rsid w:val="008D3392"/>
    <w:rsid w:val="008D5E89"/>
    <w:rsid w:val="008E11E2"/>
    <w:rsid w:val="008E130A"/>
    <w:rsid w:val="008E1566"/>
    <w:rsid w:val="008E5A63"/>
    <w:rsid w:val="008F5645"/>
    <w:rsid w:val="009022A4"/>
    <w:rsid w:val="00906769"/>
    <w:rsid w:val="00906A02"/>
    <w:rsid w:val="00912981"/>
    <w:rsid w:val="00915E71"/>
    <w:rsid w:val="00923668"/>
    <w:rsid w:val="009305DB"/>
    <w:rsid w:val="009351B7"/>
    <w:rsid w:val="00935D00"/>
    <w:rsid w:val="0093662E"/>
    <w:rsid w:val="009422D4"/>
    <w:rsid w:val="009559B1"/>
    <w:rsid w:val="00955EAE"/>
    <w:rsid w:val="00963506"/>
    <w:rsid w:val="00975E72"/>
    <w:rsid w:val="00975FB2"/>
    <w:rsid w:val="0097675D"/>
    <w:rsid w:val="0098273E"/>
    <w:rsid w:val="00990EDD"/>
    <w:rsid w:val="00990FCB"/>
    <w:rsid w:val="00991B51"/>
    <w:rsid w:val="00992606"/>
    <w:rsid w:val="00994981"/>
    <w:rsid w:val="009A755F"/>
    <w:rsid w:val="009B2428"/>
    <w:rsid w:val="009B3E16"/>
    <w:rsid w:val="009C4AA9"/>
    <w:rsid w:val="009D2F40"/>
    <w:rsid w:val="009D52E1"/>
    <w:rsid w:val="009D6FEC"/>
    <w:rsid w:val="009E0308"/>
    <w:rsid w:val="009E08A6"/>
    <w:rsid w:val="009E17BF"/>
    <w:rsid w:val="009E2024"/>
    <w:rsid w:val="009F4128"/>
    <w:rsid w:val="00A03FCC"/>
    <w:rsid w:val="00A10AE4"/>
    <w:rsid w:val="00A2240F"/>
    <w:rsid w:val="00A24EE2"/>
    <w:rsid w:val="00A274E3"/>
    <w:rsid w:val="00A31EF9"/>
    <w:rsid w:val="00A36AF6"/>
    <w:rsid w:val="00A36DF1"/>
    <w:rsid w:val="00A44F66"/>
    <w:rsid w:val="00A455C6"/>
    <w:rsid w:val="00A505F0"/>
    <w:rsid w:val="00A60D41"/>
    <w:rsid w:val="00A61D05"/>
    <w:rsid w:val="00A71447"/>
    <w:rsid w:val="00A804A4"/>
    <w:rsid w:val="00A82BE0"/>
    <w:rsid w:val="00A85791"/>
    <w:rsid w:val="00A90D6C"/>
    <w:rsid w:val="00AA1BF2"/>
    <w:rsid w:val="00AB1B65"/>
    <w:rsid w:val="00AB6668"/>
    <w:rsid w:val="00AB7E96"/>
    <w:rsid w:val="00AC14ED"/>
    <w:rsid w:val="00AC1568"/>
    <w:rsid w:val="00AC242E"/>
    <w:rsid w:val="00AC4169"/>
    <w:rsid w:val="00AC6CDF"/>
    <w:rsid w:val="00AD2DEF"/>
    <w:rsid w:val="00AE03DC"/>
    <w:rsid w:val="00AE4486"/>
    <w:rsid w:val="00AE6210"/>
    <w:rsid w:val="00AF3EA3"/>
    <w:rsid w:val="00AF6128"/>
    <w:rsid w:val="00B00D28"/>
    <w:rsid w:val="00B03220"/>
    <w:rsid w:val="00B04404"/>
    <w:rsid w:val="00B06E75"/>
    <w:rsid w:val="00B07C06"/>
    <w:rsid w:val="00B10C0C"/>
    <w:rsid w:val="00B1172E"/>
    <w:rsid w:val="00B23833"/>
    <w:rsid w:val="00B24486"/>
    <w:rsid w:val="00B24884"/>
    <w:rsid w:val="00B2656D"/>
    <w:rsid w:val="00B35B0E"/>
    <w:rsid w:val="00B35C19"/>
    <w:rsid w:val="00B35C94"/>
    <w:rsid w:val="00B50024"/>
    <w:rsid w:val="00B50943"/>
    <w:rsid w:val="00B52879"/>
    <w:rsid w:val="00B63147"/>
    <w:rsid w:val="00B655EE"/>
    <w:rsid w:val="00B72D69"/>
    <w:rsid w:val="00B8118C"/>
    <w:rsid w:val="00B8149C"/>
    <w:rsid w:val="00B96EF3"/>
    <w:rsid w:val="00BA0E50"/>
    <w:rsid w:val="00BA1AE1"/>
    <w:rsid w:val="00BA1F32"/>
    <w:rsid w:val="00BA2B4B"/>
    <w:rsid w:val="00BB243C"/>
    <w:rsid w:val="00BB4E1B"/>
    <w:rsid w:val="00BC1F1A"/>
    <w:rsid w:val="00BC4D15"/>
    <w:rsid w:val="00BC5A4F"/>
    <w:rsid w:val="00BD07B9"/>
    <w:rsid w:val="00BD0BB8"/>
    <w:rsid w:val="00BD6ED1"/>
    <w:rsid w:val="00BE0828"/>
    <w:rsid w:val="00BF3B0F"/>
    <w:rsid w:val="00BF4886"/>
    <w:rsid w:val="00BF4D6D"/>
    <w:rsid w:val="00C1176E"/>
    <w:rsid w:val="00C20906"/>
    <w:rsid w:val="00C308D2"/>
    <w:rsid w:val="00C3161A"/>
    <w:rsid w:val="00C406BA"/>
    <w:rsid w:val="00C4371C"/>
    <w:rsid w:val="00C53E82"/>
    <w:rsid w:val="00C54E04"/>
    <w:rsid w:val="00C556D5"/>
    <w:rsid w:val="00C56B14"/>
    <w:rsid w:val="00C75A52"/>
    <w:rsid w:val="00C80F1C"/>
    <w:rsid w:val="00CA6128"/>
    <w:rsid w:val="00CA7503"/>
    <w:rsid w:val="00CC0A31"/>
    <w:rsid w:val="00CD290B"/>
    <w:rsid w:val="00CF0B80"/>
    <w:rsid w:val="00CF6045"/>
    <w:rsid w:val="00D019F9"/>
    <w:rsid w:val="00D02840"/>
    <w:rsid w:val="00D14A13"/>
    <w:rsid w:val="00D17143"/>
    <w:rsid w:val="00D241FC"/>
    <w:rsid w:val="00D30B3E"/>
    <w:rsid w:val="00D34F51"/>
    <w:rsid w:val="00D35DFE"/>
    <w:rsid w:val="00D365F5"/>
    <w:rsid w:val="00D36D4D"/>
    <w:rsid w:val="00D40B9B"/>
    <w:rsid w:val="00D46DFE"/>
    <w:rsid w:val="00D51B53"/>
    <w:rsid w:val="00D54390"/>
    <w:rsid w:val="00D70643"/>
    <w:rsid w:val="00D70C61"/>
    <w:rsid w:val="00D71F77"/>
    <w:rsid w:val="00D727BC"/>
    <w:rsid w:val="00D73C46"/>
    <w:rsid w:val="00D75968"/>
    <w:rsid w:val="00D867DE"/>
    <w:rsid w:val="00D900DC"/>
    <w:rsid w:val="00D941C8"/>
    <w:rsid w:val="00D972E4"/>
    <w:rsid w:val="00DA18E9"/>
    <w:rsid w:val="00DA3498"/>
    <w:rsid w:val="00DA4FFC"/>
    <w:rsid w:val="00DA79EF"/>
    <w:rsid w:val="00DB0172"/>
    <w:rsid w:val="00DB0F8A"/>
    <w:rsid w:val="00DB1CBB"/>
    <w:rsid w:val="00DB3E78"/>
    <w:rsid w:val="00DB6975"/>
    <w:rsid w:val="00DC078F"/>
    <w:rsid w:val="00DC36FB"/>
    <w:rsid w:val="00DC4EA5"/>
    <w:rsid w:val="00DC5446"/>
    <w:rsid w:val="00DD0B85"/>
    <w:rsid w:val="00DD2729"/>
    <w:rsid w:val="00DD5554"/>
    <w:rsid w:val="00DD628A"/>
    <w:rsid w:val="00DD6FF1"/>
    <w:rsid w:val="00DE35BE"/>
    <w:rsid w:val="00DF1BD3"/>
    <w:rsid w:val="00DF2056"/>
    <w:rsid w:val="00DF31F8"/>
    <w:rsid w:val="00DF3E95"/>
    <w:rsid w:val="00DF4956"/>
    <w:rsid w:val="00E0354C"/>
    <w:rsid w:val="00E17B1C"/>
    <w:rsid w:val="00E22AE8"/>
    <w:rsid w:val="00E2351D"/>
    <w:rsid w:val="00E23983"/>
    <w:rsid w:val="00E246B2"/>
    <w:rsid w:val="00E2480E"/>
    <w:rsid w:val="00E25A32"/>
    <w:rsid w:val="00E372EB"/>
    <w:rsid w:val="00E37D89"/>
    <w:rsid w:val="00E40FD7"/>
    <w:rsid w:val="00E42411"/>
    <w:rsid w:val="00E51EBF"/>
    <w:rsid w:val="00E62B56"/>
    <w:rsid w:val="00E6595C"/>
    <w:rsid w:val="00E67B9D"/>
    <w:rsid w:val="00E67BAD"/>
    <w:rsid w:val="00E75840"/>
    <w:rsid w:val="00E7650E"/>
    <w:rsid w:val="00E80AE8"/>
    <w:rsid w:val="00E816A9"/>
    <w:rsid w:val="00E862A7"/>
    <w:rsid w:val="00EA2EE4"/>
    <w:rsid w:val="00EB5BC7"/>
    <w:rsid w:val="00EC3A95"/>
    <w:rsid w:val="00ED1441"/>
    <w:rsid w:val="00ED6668"/>
    <w:rsid w:val="00ED7D19"/>
    <w:rsid w:val="00EE05FD"/>
    <w:rsid w:val="00EE5638"/>
    <w:rsid w:val="00EE7172"/>
    <w:rsid w:val="00EE76B8"/>
    <w:rsid w:val="00EF0A94"/>
    <w:rsid w:val="00EF1A25"/>
    <w:rsid w:val="00F03243"/>
    <w:rsid w:val="00F0422E"/>
    <w:rsid w:val="00F04532"/>
    <w:rsid w:val="00F13189"/>
    <w:rsid w:val="00F15BE3"/>
    <w:rsid w:val="00F20526"/>
    <w:rsid w:val="00F220B2"/>
    <w:rsid w:val="00F31CC7"/>
    <w:rsid w:val="00F32A88"/>
    <w:rsid w:val="00F35312"/>
    <w:rsid w:val="00F440D7"/>
    <w:rsid w:val="00F53868"/>
    <w:rsid w:val="00F567D6"/>
    <w:rsid w:val="00F575D9"/>
    <w:rsid w:val="00F57D18"/>
    <w:rsid w:val="00F60481"/>
    <w:rsid w:val="00F6660E"/>
    <w:rsid w:val="00F70937"/>
    <w:rsid w:val="00F72676"/>
    <w:rsid w:val="00F735C2"/>
    <w:rsid w:val="00F757CA"/>
    <w:rsid w:val="00F76FEF"/>
    <w:rsid w:val="00F81A12"/>
    <w:rsid w:val="00F90F43"/>
    <w:rsid w:val="00FA441A"/>
    <w:rsid w:val="00FB1027"/>
    <w:rsid w:val="00FB2AF1"/>
    <w:rsid w:val="00FB2C02"/>
    <w:rsid w:val="00FB35E7"/>
    <w:rsid w:val="00FB4850"/>
    <w:rsid w:val="00FB7235"/>
    <w:rsid w:val="00FC0274"/>
    <w:rsid w:val="00FC3088"/>
    <w:rsid w:val="00FD7102"/>
    <w:rsid w:val="00FE16AE"/>
    <w:rsid w:val="00FE17CB"/>
    <w:rsid w:val="00FE557A"/>
    <w:rsid w:val="00FF2997"/>
    <w:rsid w:val="00FF5110"/>
    <w:rsid w:val="00FF7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84DB044"/>
  <w15:docId w15:val="{71B566EC-3E12-439E-A771-1440EDF1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uiPriority="99" w:qFormat="1"/>
    <w:lsdException w:name="heading 6" w:uiPriority="99"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72E4"/>
    <w:rPr>
      <w:rFonts w:ascii="Arial" w:hAnsi="Arial"/>
      <w:sz w:val="24"/>
    </w:rPr>
  </w:style>
  <w:style w:type="paragraph" w:styleId="Heading1">
    <w:name w:val="heading 1"/>
    <w:basedOn w:val="Normal"/>
    <w:next w:val="Normal"/>
    <w:link w:val="Heading1Char"/>
    <w:uiPriority w:val="99"/>
    <w:qFormat/>
    <w:rsid w:val="00D972E4"/>
    <w:pPr>
      <w:keepNext/>
      <w:outlineLvl w:val="0"/>
    </w:pPr>
    <w:rPr>
      <w:rFonts w:ascii="Univers" w:hAnsi="Univers"/>
      <w:b/>
      <w:kern w:val="28"/>
    </w:rPr>
  </w:style>
  <w:style w:type="paragraph" w:styleId="Heading2">
    <w:name w:val="heading 2"/>
    <w:basedOn w:val="Normal"/>
    <w:next w:val="Normal"/>
    <w:link w:val="Heading2Char"/>
    <w:qFormat/>
    <w:rsid w:val="00115EE2"/>
    <w:pPr>
      <w:keepNext/>
      <w:jc w:val="center"/>
      <w:outlineLvl w:val="1"/>
    </w:pPr>
    <w:rPr>
      <w:b/>
      <w:sz w:val="18"/>
    </w:rPr>
  </w:style>
  <w:style w:type="paragraph" w:styleId="Heading4">
    <w:name w:val="heading 4"/>
    <w:basedOn w:val="Normal"/>
    <w:next w:val="Normal"/>
    <w:link w:val="Heading4Char"/>
    <w:uiPriority w:val="99"/>
    <w:qFormat/>
    <w:rsid w:val="00115EE2"/>
    <w:pPr>
      <w:keepNext/>
      <w:jc w:val="right"/>
      <w:outlineLvl w:val="3"/>
    </w:pPr>
    <w:rPr>
      <w:b/>
    </w:rPr>
  </w:style>
  <w:style w:type="paragraph" w:styleId="Heading5">
    <w:name w:val="heading 5"/>
    <w:basedOn w:val="Normal"/>
    <w:next w:val="Normal"/>
    <w:link w:val="Heading5Char"/>
    <w:uiPriority w:val="99"/>
    <w:qFormat/>
    <w:rsid w:val="00D972E4"/>
    <w:pPr>
      <w:keepNext/>
      <w:outlineLvl w:val="4"/>
    </w:pPr>
    <w:rPr>
      <w:rFonts w:ascii="Univers" w:hAnsi="Univers"/>
      <w:b/>
      <w:u w:val="single"/>
    </w:rPr>
  </w:style>
  <w:style w:type="paragraph" w:styleId="Heading6">
    <w:name w:val="heading 6"/>
    <w:basedOn w:val="Normal"/>
    <w:next w:val="Normal"/>
    <w:link w:val="Heading6Char"/>
    <w:uiPriority w:val="99"/>
    <w:qFormat/>
    <w:rsid w:val="00D972E4"/>
    <w:pPr>
      <w:keepNext/>
      <w:outlineLvl w:val="5"/>
    </w:pPr>
    <w:rPr>
      <w:rFonts w:ascii="Univers" w:hAnsi="Univers"/>
      <w:b/>
    </w:rPr>
  </w:style>
  <w:style w:type="paragraph" w:styleId="Heading7">
    <w:name w:val="heading 7"/>
    <w:basedOn w:val="Normal"/>
    <w:next w:val="Normal"/>
    <w:link w:val="Heading7Char"/>
    <w:uiPriority w:val="99"/>
    <w:qFormat/>
    <w:rsid w:val="00D972E4"/>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72E4"/>
  </w:style>
  <w:style w:type="paragraph" w:styleId="BodyText2">
    <w:name w:val="Body Text 2"/>
    <w:basedOn w:val="Normal"/>
    <w:link w:val="BodyText2Char"/>
    <w:uiPriority w:val="99"/>
    <w:rsid w:val="00D972E4"/>
    <w:rPr>
      <w:rFonts w:ascii="Univers" w:hAnsi="Univers"/>
      <w:b/>
      <w:u w:val="single"/>
    </w:rPr>
  </w:style>
  <w:style w:type="paragraph" w:styleId="BodyTextIndent">
    <w:name w:val="Body Text Indent"/>
    <w:basedOn w:val="Normal"/>
    <w:link w:val="BodyTextIndentChar"/>
    <w:uiPriority w:val="99"/>
    <w:rsid w:val="00D972E4"/>
    <w:pPr>
      <w:ind w:left="720" w:firstLine="720"/>
    </w:pPr>
    <w:rPr>
      <w:rFonts w:ascii="Times New Roman" w:hAnsi="Times New Roman"/>
    </w:rPr>
  </w:style>
  <w:style w:type="paragraph" w:styleId="BodyText">
    <w:name w:val="Body Text"/>
    <w:basedOn w:val="Normal"/>
    <w:link w:val="BodyTextChar"/>
    <w:rsid w:val="00D972E4"/>
  </w:style>
  <w:style w:type="paragraph" w:styleId="Footer">
    <w:name w:val="footer"/>
    <w:basedOn w:val="Normal"/>
    <w:link w:val="FooterChar"/>
    <w:uiPriority w:val="99"/>
    <w:rsid w:val="00D972E4"/>
    <w:pPr>
      <w:tabs>
        <w:tab w:val="center" w:pos="4153"/>
        <w:tab w:val="right" w:pos="8306"/>
      </w:tabs>
    </w:pPr>
  </w:style>
  <w:style w:type="character" w:styleId="PageNumber">
    <w:name w:val="page number"/>
    <w:basedOn w:val="DefaultParagraphFont"/>
    <w:uiPriority w:val="99"/>
    <w:rsid w:val="00D972E4"/>
  </w:style>
  <w:style w:type="paragraph" w:styleId="BalloonText">
    <w:name w:val="Balloon Text"/>
    <w:basedOn w:val="Normal"/>
    <w:link w:val="BalloonTextChar"/>
    <w:uiPriority w:val="99"/>
    <w:semiHidden/>
    <w:rsid w:val="00BF7B57"/>
    <w:rPr>
      <w:rFonts w:ascii="Tahoma" w:hAnsi="Tahoma"/>
      <w:sz w:val="16"/>
      <w:szCs w:val="16"/>
    </w:rPr>
  </w:style>
  <w:style w:type="character" w:styleId="CommentReference">
    <w:name w:val="annotation reference"/>
    <w:rsid w:val="0058092A"/>
    <w:rPr>
      <w:sz w:val="16"/>
      <w:szCs w:val="16"/>
    </w:rPr>
  </w:style>
  <w:style w:type="paragraph" w:styleId="CommentText">
    <w:name w:val="annotation text"/>
    <w:basedOn w:val="Normal"/>
    <w:link w:val="CommentTextChar"/>
    <w:rsid w:val="0058092A"/>
    <w:rPr>
      <w:sz w:val="20"/>
    </w:rPr>
  </w:style>
  <w:style w:type="paragraph" w:styleId="CommentSubject">
    <w:name w:val="annotation subject"/>
    <w:basedOn w:val="CommentText"/>
    <w:next w:val="CommentText"/>
    <w:link w:val="CommentSubjectChar"/>
    <w:uiPriority w:val="99"/>
    <w:semiHidden/>
    <w:rsid w:val="0058092A"/>
    <w:rPr>
      <w:b/>
      <w:bCs/>
    </w:rPr>
  </w:style>
  <w:style w:type="table" w:styleId="TableGrid">
    <w:name w:val="Table Grid"/>
    <w:basedOn w:val="TableNormal"/>
    <w:uiPriority w:val="39"/>
    <w:rsid w:val="00AC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4C1418"/>
    <w:rPr>
      <w:rFonts w:ascii="Arial" w:hAnsi="Arial"/>
      <w:sz w:val="24"/>
    </w:rPr>
  </w:style>
  <w:style w:type="paragraph" w:styleId="Title">
    <w:name w:val="Title"/>
    <w:basedOn w:val="Normal"/>
    <w:qFormat/>
    <w:rsid w:val="002C3BBF"/>
    <w:pPr>
      <w:jc w:val="center"/>
    </w:pPr>
    <w:rPr>
      <w:b/>
      <w:lang w:val="en-US" w:eastAsia="en-US"/>
    </w:rPr>
  </w:style>
  <w:style w:type="character" w:customStyle="1" w:styleId="Heading2Char">
    <w:name w:val="Heading 2 Char"/>
    <w:link w:val="Heading2"/>
    <w:rsid w:val="00115EE2"/>
    <w:rPr>
      <w:rFonts w:ascii="Arial" w:hAnsi="Arial"/>
      <w:b/>
      <w:sz w:val="18"/>
    </w:rPr>
  </w:style>
  <w:style w:type="character" w:customStyle="1" w:styleId="Heading4Char">
    <w:name w:val="Heading 4 Char"/>
    <w:link w:val="Heading4"/>
    <w:uiPriority w:val="99"/>
    <w:rsid w:val="00115EE2"/>
    <w:rPr>
      <w:rFonts w:ascii="Arial" w:hAnsi="Arial"/>
      <w:b/>
      <w:sz w:val="24"/>
    </w:rPr>
  </w:style>
  <w:style w:type="character" w:customStyle="1" w:styleId="Heading1Char">
    <w:name w:val="Heading 1 Char"/>
    <w:link w:val="Heading1"/>
    <w:uiPriority w:val="99"/>
    <w:locked/>
    <w:rsid w:val="00115EE2"/>
    <w:rPr>
      <w:rFonts w:ascii="Univers" w:hAnsi="Univers"/>
      <w:b/>
      <w:kern w:val="28"/>
      <w:sz w:val="24"/>
    </w:rPr>
  </w:style>
  <w:style w:type="character" w:customStyle="1" w:styleId="Heading5Char">
    <w:name w:val="Heading 5 Char"/>
    <w:link w:val="Heading5"/>
    <w:uiPriority w:val="99"/>
    <w:locked/>
    <w:rsid w:val="00115EE2"/>
    <w:rPr>
      <w:rFonts w:ascii="Univers" w:hAnsi="Univers"/>
      <w:b/>
      <w:sz w:val="24"/>
      <w:u w:val="single"/>
    </w:rPr>
  </w:style>
  <w:style w:type="character" w:customStyle="1" w:styleId="Heading6Char">
    <w:name w:val="Heading 6 Char"/>
    <w:link w:val="Heading6"/>
    <w:uiPriority w:val="99"/>
    <w:locked/>
    <w:rsid w:val="00115EE2"/>
    <w:rPr>
      <w:rFonts w:ascii="Univers" w:hAnsi="Univers"/>
      <w:b/>
      <w:sz w:val="24"/>
    </w:rPr>
  </w:style>
  <w:style w:type="character" w:customStyle="1" w:styleId="Heading7Char">
    <w:name w:val="Heading 7 Char"/>
    <w:link w:val="Heading7"/>
    <w:uiPriority w:val="99"/>
    <w:locked/>
    <w:rsid w:val="00115EE2"/>
    <w:rPr>
      <w:rFonts w:ascii="Univers" w:hAnsi="Univers"/>
      <w:sz w:val="24"/>
      <w:u w:val="single"/>
    </w:rPr>
  </w:style>
  <w:style w:type="character" w:customStyle="1" w:styleId="BodyText2Char">
    <w:name w:val="Body Text 2 Char"/>
    <w:link w:val="BodyText2"/>
    <w:uiPriority w:val="99"/>
    <w:locked/>
    <w:rsid w:val="00115EE2"/>
    <w:rPr>
      <w:rFonts w:ascii="Univers" w:hAnsi="Univers"/>
      <w:b/>
      <w:sz w:val="24"/>
      <w:u w:val="single"/>
    </w:rPr>
  </w:style>
  <w:style w:type="character" w:customStyle="1" w:styleId="BodyTextChar">
    <w:name w:val="Body Text Char"/>
    <w:link w:val="BodyText"/>
    <w:locked/>
    <w:rsid w:val="00115EE2"/>
    <w:rPr>
      <w:rFonts w:ascii="Arial" w:hAnsi="Arial"/>
      <w:sz w:val="24"/>
    </w:rPr>
  </w:style>
  <w:style w:type="character" w:customStyle="1" w:styleId="FooterChar">
    <w:name w:val="Footer Char"/>
    <w:link w:val="Footer"/>
    <w:uiPriority w:val="99"/>
    <w:locked/>
    <w:rsid w:val="00115EE2"/>
    <w:rPr>
      <w:rFonts w:ascii="Arial" w:hAnsi="Arial"/>
      <w:sz w:val="24"/>
    </w:rPr>
  </w:style>
  <w:style w:type="character" w:customStyle="1" w:styleId="BodyTextIndentChar">
    <w:name w:val="Body Text Indent Char"/>
    <w:link w:val="BodyTextIndent"/>
    <w:uiPriority w:val="99"/>
    <w:locked/>
    <w:rsid w:val="00115EE2"/>
    <w:rPr>
      <w:sz w:val="24"/>
    </w:rPr>
  </w:style>
  <w:style w:type="paragraph" w:styleId="BodyTextIndent2">
    <w:name w:val="Body Text Indent 2"/>
    <w:basedOn w:val="Normal"/>
    <w:link w:val="BodyTextIndent2Char"/>
    <w:uiPriority w:val="99"/>
    <w:rsid w:val="00115EE2"/>
    <w:pPr>
      <w:spacing w:after="240"/>
      <w:ind w:left="720"/>
    </w:pPr>
    <w:rPr>
      <w:sz w:val="20"/>
    </w:rPr>
  </w:style>
  <w:style w:type="character" w:customStyle="1" w:styleId="BodyTextIndent2Char">
    <w:name w:val="Body Text Indent 2 Char"/>
    <w:link w:val="BodyTextIndent2"/>
    <w:uiPriority w:val="99"/>
    <w:rsid w:val="00115EE2"/>
    <w:rPr>
      <w:rFonts w:ascii="Arial" w:hAnsi="Arial"/>
    </w:rPr>
  </w:style>
  <w:style w:type="character" w:customStyle="1" w:styleId="CommentTextChar">
    <w:name w:val="Comment Text Char"/>
    <w:link w:val="CommentText"/>
    <w:locked/>
    <w:rsid w:val="00115EE2"/>
    <w:rPr>
      <w:rFonts w:ascii="Arial" w:hAnsi="Arial"/>
    </w:rPr>
  </w:style>
  <w:style w:type="character" w:customStyle="1" w:styleId="CommentSubjectChar">
    <w:name w:val="Comment Subject Char"/>
    <w:link w:val="CommentSubject"/>
    <w:uiPriority w:val="99"/>
    <w:semiHidden/>
    <w:locked/>
    <w:rsid w:val="00115EE2"/>
    <w:rPr>
      <w:rFonts w:ascii="Arial" w:hAnsi="Arial"/>
      <w:b/>
      <w:bCs/>
    </w:rPr>
  </w:style>
  <w:style w:type="character" w:customStyle="1" w:styleId="BalloonTextChar">
    <w:name w:val="Balloon Text Char"/>
    <w:link w:val="BalloonText"/>
    <w:uiPriority w:val="99"/>
    <w:semiHidden/>
    <w:locked/>
    <w:rsid w:val="00115EE2"/>
    <w:rPr>
      <w:rFonts w:ascii="Tahoma" w:hAnsi="Tahoma" w:cs="Tahoma"/>
      <w:sz w:val="16"/>
      <w:szCs w:val="16"/>
    </w:rPr>
  </w:style>
  <w:style w:type="paragraph" w:styleId="PlainText">
    <w:name w:val="Plain Text"/>
    <w:basedOn w:val="Normal"/>
    <w:link w:val="PlainTextChar"/>
    <w:uiPriority w:val="99"/>
    <w:rsid w:val="00115EE2"/>
    <w:rPr>
      <w:rFonts w:ascii="Consolas" w:hAnsi="Consolas"/>
      <w:sz w:val="21"/>
      <w:szCs w:val="21"/>
    </w:rPr>
  </w:style>
  <w:style w:type="character" w:customStyle="1" w:styleId="PlainTextChar">
    <w:name w:val="Plain Text Char"/>
    <w:link w:val="PlainText"/>
    <w:uiPriority w:val="99"/>
    <w:rsid w:val="00115EE2"/>
    <w:rPr>
      <w:rFonts w:ascii="Consolas" w:hAnsi="Consolas"/>
      <w:sz w:val="21"/>
      <w:szCs w:val="21"/>
    </w:rPr>
  </w:style>
  <w:style w:type="paragraph" w:styleId="ListParagraph">
    <w:name w:val="List Paragraph"/>
    <w:basedOn w:val="Normal"/>
    <w:uiPriority w:val="34"/>
    <w:qFormat/>
    <w:rsid w:val="00115EE2"/>
    <w:pPr>
      <w:ind w:left="720"/>
      <w:contextualSpacing/>
    </w:pPr>
  </w:style>
  <w:style w:type="table" w:customStyle="1" w:styleId="TableGrid0">
    <w:name w:val="TableGrid"/>
    <w:rsid w:val="0018474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sion">
    <w:name w:val="Revision"/>
    <w:hidden/>
    <w:uiPriority w:val="99"/>
    <w:semiHidden/>
    <w:rsid w:val="00505910"/>
    <w:rPr>
      <w:rFonts w:ascii="Arial" w:hAnsi="Arial"/>
      <w:sz w:val="24"/>
    </w:rPr>
  </w:style>
  <w:style w:type="table" w:customStyle="1" w:styleId="TableGrid1">
    <w:name w:val="Table Grid1"/>
    <w:basedOn w:val="TableNormal"/>
    <w:next w:val="TableGrid"/>
    <w:uiPriority w:val="59"/>
    <w:rsid w:val="00B96EF3"/>
    <w:rPr>
      <w:rFonts w:ascii="Arial"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70643"/>
    <w:rPr>
      <w:rFonts w:ascii="Arial"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4237"/>
    <w:pPr>
      <w:autoSpaceDE w:val="0"/>
      <w:autoSpaceDN w:val="0"/>
      <w:adjustRightInd w:val="0"/>
    </w:pPr>
    <w:rPr>
      <w:rFonts w:ascii="Trebuchet MS" w:hAnsi="Trebuchet MS" w:cs="Trebuchet MS"/>
      <w:color w:val="000000"/>
      <w:sz w:val="24"/>
      <w:szCs w:val="24"/>
    </w:rPr>
  </w:style>
  <w:style w:type="table" w:customStyle="1" w:styleId="TableGrid3">
    <w:name w:val="Table Grid3"/>
    <w:basedOn w:val="TableNormal"/>
    <w:next w:val="TableGrid"/>
    <w:uiPriority w:val="39"/>
    <w:rsid w:val="00544E9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318675">
      <w:bodyDiv w:val="1"/>
      <w:marLeft w:val="0"/>
      <w:marRight w:val="0"/>
      <w:marTop w:val="0"/>
      <w:marBottom w:val="0"/>
      <w:divBdr>
        <w:top w:val="none" w:sz="0" w:space="0" w:color="auto"/>
        <w:left w:val="none" w:sz="0" w:space="0" w:color="auto"/>
        <w:bottom w:val="none" w:sz="0" w:space="0" w:color="auto"/>
        <w:right w:val="none" w:sz="0" w:space="0" w:color="auto"/>
      </w:divBdr>
    </w:div>
    <w:div w:id="211636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4%20-%20Report%20to%20Individual%20Cabinet%20Member%20-%20for%20Decision.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CFR and debt</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688113865626843E-2"/>
          <c:y val="0.16647171154665003"/>
          <c:w val="0.89721212206929157"/>
          <c:h val="0.63777588212753378"/>
        </c:manualLayout>
      </c:layout>
      <c:lineChart>
        <c:grouping val="standard"/>
        <c:varyColors val="0"/>
        <c:ser>
          <c:idx val="0"/>
          <c:order val="0"/>
          <c:tx>
            <c:v>CFR</c:v>
          </c:tx>
          <c:spPr>
            <a:ln w="34925" cap="rnd">
              <a:solidFill>
                <a:schemeClr val="accent1"/>
              </a:solidFill>
              <a:round/>
            </a:ln>
            <a:effectLst>
              <a:outerShdw blurRad="57150" dist="19050" dir="5400000" algn="ctr" rotWithShape="0">
                <a:srgbClr val="000000">
                  <a:alpha val="63000"/>
                </a:srgbClr>
              </a:outerShdw>
            </a:effectLst>
          </c:spPr>
          <c:marker>
            <c:symbol val="none"/>
          </c:marker>
          <c:cat>
            <c:strRef>
              <c:f>'cfr v debt'!$B$7:$B$56</c:f>
              <c:strCache>
                <c:ptCount val="45"/>
                <c:pt idx="0">
                  <c:v>31.3.21</c:v>
                </c:pt>
                <c:pt idx="1">
                  <c:v>31.3.22</c:v>
                </c:pt>
                <c:pt idx="2">
                  <c:v>31.3.23</c:v>
                </c:pt>
                <c:pt idx="3">
                  <c:v>31.3.24</c:v>
                </c:pt>
                <c:pt idx="4">
                  <c:v>31.3.25</c:v>
                </c:pt>
                <c:pt idx="5">
                  <c:v>31.3.26</c:v>
                </c:pt>
                <c:pt idx="6">
                  <c:v>31.3.27</c:v>
                </c:pt>
                <c:pt idx="7">
                  <c:v>31.3.28</c:v>
                </c:pt>
                <c:pt idx="8">
                  <c:v>31.3.29</c:v>
                </c:pt>
                <c:pt idx="9">
                  <c:v>31.3.30</c:v>
                </c:pt>
                <c:pt idx="10">
                  <c:v>31.3.31</c:v>
                </c:pt>
                <c:pt idx="11">
                  <c:v>31.3.32</c:v>
                </c:pt>
                <c:pt idx="12">
                  <c:v>31.3.33</c:v>
                </c:pt>
                <c:pt idx="13">
                  <c:v>31.3.34</c:v>
                </c:pt>
                <c:pt idx="14">
                  <c:v>31.3.35</c:v>
                </c:pt>
                <c:pt idx="15">
                  <c:v>31.3.36</c:v>
                </c:pt>
                <c:pt idx="16">
                  <c:v>31.3.37</c:v>
                </c:pt>
                <c:pt idx="17">
                  <c:v>31.3.38</c:v>
                </c:pt>
                <c:pt idx="18">
                  <c:v>31.3.39</c:v>
                </c:pt>
                <c:pt idx="19">
                  <c:v>31.3.40</c:v>
                </c:pt>
                <c:pt idx="20">
                  <c:v>31.3.41</c:v>
                </c:pt>
                <c:pt idx="21">
                  <c:v>31.3.42</c:v>
                </c:pt>
                <c:pt idx="22">
                  <c:v>31.3.43</c:v>
                </c:pt>
                <c:pt idx="23">
                  <c:v>31.3.44</c:v>
                </c:pt>
                <c:pt idx="24">
                  <c:v>31.3.45</c:v>
                </c:pt>
                <c:pt idx="25">
                  <c:v>31.3.46</c:v>
                </c:pt>
                <c:pt idx="26">
                  <c:v>31.3.47</c:v>
                </c:pt>
                <c:pt idx="27">
                  <c:v>31.3.48</c:v>
                </c:pt>
                <c:pt idx="28">
                  <c:v>31.3.49</c:v>
                </c:pt>
                <c:pt idx="29">
                  <c:v>31.3.50</c:v>
                </c:pt>
                <c:pt idx="30">
                  <c:v>31.3.51</c:v>
                </c:pt>
                <c:pt idx="31">
                  <c:v>31.3.52</c:v>
                </c:pt>
                <c:pt idx="32">
                  <c:v>31.3.53</c:v>
                </c:pt>
                <c:pt idx="33">
                  <c:v>31.3.54</c:v>
                </c:pt>
                <c:pt idx="34">
                  <c:v>31.3.55</c:v>
                </c:pt>
                <c:pt idx="35">
                  <c:v>31.3.56</c:v>
                </c:pt>
                <c:pt idx="36">
                  <c:v>31.3.57</c:v>
                </c:pt>
                <c:pt idx="37">
                  <c:v>31.3.58</c:v>
                </c:pt>
                <c:pt idx="38">
                  <c:v>31.3.59</c:v>
                </c:pt>
                <c:pt idx="39">
                  <c:v>31.3.60</c:v>
                </c:pt>
                <c:pt idx="40">
                  <c:v>31.3.61</c:v>
                </c:pt>
                <c:pt idx="41">
                  <c:v>31.3.62</c:v>
                </c:pt>
                <c:pt idx="42">
                  <c:v>31.3.63</c:v>
                </c:pt>
                <c:pt idx="43">
                  <c:v>31.3.64</c:v>
                </c:pt>
                <c:pt idx="44">
                  <c:v>31.3.65</c:v>
                </c:pt>
              </c:strCache>
            </c:strRef>
          </c:cat>
          <c:val>
            <c:numRef>
              <c:f>'cfr v debt'!$I$7:$I$56</c:f>
              <c:numCache>
                <c:formatCode>General</c:formatCode>
                <c:ptCount val="45"/>
                <c:pt idx="0">
                  <c:v>70.587999999999994</c:v>
                </c:pt>
                <c:pt idx="1">
                  <c:v>93.665000000000006</c:v>
                </c:pt>
                <c:pt idx="2">
                  <c:v>120.28400000000001</c:v>
                </c:pt>
                <c:pt idx="3">
                  <c:v>151.46899999999999</c:v>
                </c:pt>
                <c:pt idx="4">
                  <c:v>176.48400000000001</c:v>
                </c:pt>
                <c:pt idx="5">
                  <c:v>186.30699999999999</c:v>
                </c:pt>
                <c:pt idx="6">
                  <c:v>180.99799999999999</c:v>
                </c:pt>
                <c:pt idx="7">
                  <c:v>175.68899999999999</c:v>
                </c:pt>
                <c:pt idx="8">
                  <c:v>170.38</c:v>
                </c:pt>
                <c:pt idx="9">
                  <c:v>165.09399999999999</c:v>
                </c:pt>
                <c:pt idx="10">
                  <c:v>159.81100000000001</c:v>
                </c:pt>
                <c:pt idx="11">
                  <c:v>154.52799999999999</c:v>
                </c:pt>
                <c:pt idx="12">
                  <c:v>149.245</c:v>
                </c:pt>
                <c:pt idx="13">
                  <c:v>143.96100000000001</c:v>
                </c:pt>
                <c:pt idx="14">
                  <c:v>138.67699999999999</c:v>
                </c:pt>
                <c:pt idx="15">
                  <c:v>133.41999999999999</c:v>
                </c:pt>
                <c:pt idx="16">
                  <c:v>128.16300000000001</c:v>
                </c:pt>
                <c:pt idx="17">
                  <c:v>122.90600000000001</c:v>
                </c:pt>
                <c:pt idx="18">
                  <c:v>117.649</c:v>
                </c:pt>
                <c:pt idx="19">
                  <c:v>112.392</c:v>
                </c:pt>
                <c:pt idx="20">
                  <c:v>107.13500000000001</c:v>
                </c:pt>
                <c:pt idx="21">
                  <c:v>101.878</c:v>
                </c:pt>
                <c:pt idx="22">
                  <c:v>96.620999999999995</c:v>
                </c:pt>
                <c:pt idx="23">
                  <c:v>91.364000000000004</c:v>
                </c:pt>
                <c:pt idx="24">
                  <c:v>86.106999999999999</c:v>
                </c:pt>
                <c:pt idx="25">
                  <c:v>80.858000000000004</c:v>
                </c:pt>
                <c:pt idx="26">
                  <c:v>75.61</c:v>
                </c:pt>
                <c:pt idx="27">
                  <c:v>70.361999999999995</c:v>
                </c:pt>
                <c:pt idx="28">
                  <c:v>65.123999999999995</c:v>
                </c:pt>
                <c:pt idx="29">
                  <c:v>59.98</c:v>
                </c:pt>
                <c:pt idx="30">
                  <c:v>54.912999999999997</c:v>
                </c:pt>
                <c:pt idx="31">
                  <c:v>49.914999999999999</c:v>
                </c:pt>
                <c:pt idx="32">
                  <c:v>44.957999999999998</c:v>
                </c:pt>
                <c:pt idx="33">
                  <c:v>40.030999999999999</c:v>
                </c:pt>
                <c:pt idx="34">
                  <c:v>35.103000000000002</c:v>
                </c:pt>
                <c:pt idx="35">
                  <c:v>30.175000000000001</c:v>
                </c:pt>
                <c:pt idx="36">
                  <c:v>25.247</c:v>
                </c:pt>
                <c:pt idx="37">
                  <c:v>20.949000000000002</c:v>
                </c:pt>
                <c:pt idx="38">
                  <c:v>16.728999999999999</c:v>
                </c:pt>
                <c:pt idx="39">
                  <c:v>13.148999999999999</c:v>
                </c:pt>
                <c:pt idx="40">
                  <c:v>9.5920000000000005</c:v>
                </c:pt>
                <c:pt idx="41">
                  <c:v>6.2839999999999998</c:v>
                </c:pt>
                <c:pt idx="42">
                  <c:v>3.589</c:v>
                </c:pt>
                <c:pt idx="43">
                  <c:v>1.611</c:v>
                </c:pt>
                <c:pt idx="44">
                  <c:v>0.496</c:v>
                </c:pt>
              </c:numCache>
            </c:numRef>
          </c:val>
          <c:smooth val="0"/>
          <c:extLst>
            <c:ext xmlns:c16="http://schemas.microsoft.com/office/drawing/2014/chart" uri="{C3380CC4-5D6E-409C-BE32-E72D297353CC}">
              <c16:uniqueId val="{00000000-3DC6-4CEF-A824-5FF46E17B42E}"/>
            </c:ext>
          </c:extLst>
        </c:ser>
        <c:ser>
          <c:idx val="1"/>
          <c:order val="1"/>
          <c:tx>
            <c:v>debt </c:v>
          </c:tx>
          <c:spPr>
            <a:ln w="34925" cap="rnd">
              <a:solidFill>
                <a:schemeClr val="accent2"/>
              </a:solidFill>
              <a:round/>
            </a:ln>
            <a:effectLst>
              <a:outerShdw blurRad="57150" dist="19050" dir="5400000" algn="ctr" rotWithShape="0">
                <a:srgbClr val="000000">
                  <a:alpha val="63000"/>
                </a:srgbClr>
              </a:outerShdw>
            </a:effectLst>
          </c:spPr>
          <c:marker>
            <c:symbol val="none"/>
          </c:marker>
          <c:cat>
            <c:strRef>
              <c:f>'cfr v debt'!$B$7:$B$56</c:f>
              <c:strCache>
                <c:ptCount val="45"/>
                <c:pt idx="0">
                  <c:v>31.3.21</c:v>
                </c:pt>
                <c:pt idx="1">
                  <c:v>31.3.22</c:v>
                </c:pt>
                <c:pt idx="2">
                  <c:v>31.3.23</c:v>
                </c:pt>
                <c:pt idx="3">
                  <c:v>31.3.24</c:v>
                </c:pt>
                <c:pt idx="4">
                  <c:v>31.3.25</c:v>
                </c:pt>
                <c:pt idx="5">
                  <c:v>31.3.26</c:v>
                </c:pt>
                <c:pt idx="6">
                  <c:v>31.3.27</c:v>
                </c:pt>
                <c:pt idx="7">
                  <c:v>31.3.28</c:v>
                </c:pt>
                <c:pt idx="8">
                  <c:v>31.3.29</c:v>
                </c:pt>
                <c:pt idx="9">
                  <c:v>31.3.30</c:v>
                </c:pt>
                <c:pt idx="10">
                  <c:v>31.3.31</c:v>
                </c:pt>
                <c:pt idx="11">
                  <c:v>31.3.32</c:v>
                </c:pt>
                <c:pt idx="12">
                  <c:v>31.3.33</c:v>
                </c:pt>
                <c:pt idx="13">
                  <c:v>31.3.34</c:v>
                </c:pt>
                <c:pt idx="14">
                  <c:v>31.3.35</c:v>
                </c:pt>
                <c:pt idx="15">
                  <c:v>31.3.36</c:v>
                </c:pt>
                <c:pt idx="16">
                  <c:v>31.3.37</c:v>
                </c:pt>
                <c:pt idx="17">
                  <c:v>31.3.38</c:v>
                </c:pt>
                <c:pt idx="18">
                  <c:v>31.3.39</c:v>
                </c:pt>
                <c:pt idx="19">
                  <c:v>31.3.40</c:v>
                </c:pt>
                <c:pt idx="20">
                  <c:v>31.3.41</c:v>
                </c:pt>
                <c:pt idx="21">
                  <c:v>31.3.42</c:v>
                </c:pt>
                <c:pt idx="22">
                  <c:v>31.3.43</c:v>
                </c:pt>
                <c:pt idx="23">
                  <c:v>31.3.44</c:v>
                </c:pt>
                <c:pt idx="24">
                  <c:v>31.3.45</c:v>
                </c:pt>
                <c:pt idx="25">
                  <c:v>31.3.46</c:v>
                </c:pt>
                <c:pt idx="26">
                  <c:v>31.3.47</c:v>
                </c:pt>
                <c:pt idx="27">
                  <c:v>31.3.48</c:v>
                </c:pt>
                <c:pt idx="28">
                  <c:v>31.3.49</c:v>
                </c:pt>
                <c:pt idx="29">
                  <c:v>31.3.50</c:v>
                </c:pt>
                <c:pt idx="30">
                  <c:v>31.3.51</c:v>
                </c:pt>
                <c:pt idx="31">
                  <c:v>31.3.52</c:v>
                </c:pt>
                <c:pt idx="32">
                  <c:v>31.3.53</c:v>
                </c:pt>
                <c:pt idx="33">
                  <c:v>31.3.54</c:v>
                </c:pt>
                <c:pt idx="34">
                  <c:v>31.3.55</c:v>
                </c:pt>
                <c:pt idx="35">
                  <c:v>31.3.56</c:v>
                </c:pt>
                <c:pt idx="36">
                  <c:v>31.3.57</c:v>
                </c:pt>
                <c:pt idx="37">
                  <c:v>31.3.58</c:v>
                </c:pt>
                <c:pt idx="38">
                  <c:v>31.3.59</c:v>
                </c:pt>
                <c:pt idx="39">
                  <c:v>31.3.60</c:v>
                </c:pt>
                <c:pt idx="40">
                  <c:v>31.3.61</c:v>
                </c:pt>
                <c:pt idx="41">
                  <c:v>31.3.62</c:v>
                </c:pt>
                <c:pt idx="42">
                  <c:v>31.3.63</c:v>
                </c:pt>
                <c:pt idx="43">
                  <c:v>31.3.64</c:v>
                </c:pt>
                <c:pt idx="44">
                  <c:v>31.3.65</c:v>
                </c:pt>
              </c:strCache>
            </c:strRef>
          </c:cat>
          <c:val>
            <c:numRef>
              <c:f>'cfr v debt'!$J$7:$J$56</c:f>
              <c:numCache>
                <c:formatCode>General</c:formatCode>
                <c:ptCount val="45"/>
                <c:pt idx="0">
                  <c:v>84.441999999999993</c:v>
                </c:pt>
                <c:pt idx="1">
                  <c:v>56.417000000000002</c:v>
                </c:pt>
                <c:pt idx="2">
                  <c:v>40.537999999999997</c:v>
                </c:pt>
                <c:pt idx="3">
                  <c:v>39.363</c:v>
                </c:pt>
                <c:pt idx="4">
                  <c:v>37.887999999999998</c:v>
                </c:pt>
                <c:pt idx="5">
                  <c:v>36.412999999999997</c:v>
                </c:pt>
                <c:pt idx="6">
                  <c:v>35.438000000000002</c:v>
                </c:pt>
                <c:pt idx="7">
                  <c:v>35.363</c:v>
                </c:pt>
                <c:pt idx="8">
                  <c:v>25.288</c:v>
                </c:pt>
                <c:pt idx="9">
                  <c:v>25.213000000000001</c:v>
                </c:pt>
                <c:pt idx="10">
                  <c:v>25.138000000000002</c:v>
                </c:pt>
                <c:pt idx="11">
                  <c:v>23.062999999999999</c:v>
                </c:pt>
                <c:pt idx="12">
                  <c:v>22.988</c:v>
                </c:pt>
                <c:pt idx="13">
                  <c:v>13.913</c:v>
                </c:pt>
                <c:pt idx="14">
                  <c:v>13.837999999999999</c:v>
                </c:pt>
                <c:pt idx="15">
                  <c:v>13.763</c:v>
                </c:pt>
                <c:pt idx="16">
                  <c:v>13.688000000000001</c:v>
                </c:pt>
                <c:pt idx="17">
                  <c:v>11.613</c:v>
                </c:pt>
                <c:pt idx="18">
                  <c:v>11.538</c:v>
                </c:pt>
                <c:pt idx="19">
                  <c:v>11.5</c:v>
                </c:pt>
                <c:pt idx="20">
                  <c:v>11.5</c:v>
                </c:pt>
                <c:pt idx="21">
                  <c:v>11.5</c:v>
                </c:pt>
                <c:pt idx="22">
                  <c:v>11.5</c:v>
                </c:pt>
                <c:pt idx="23">
                  <c:v>11.5</c:v>
                </c:pt>
                <c:pt idx="24">
                  <c:v>11.5</c:v>
                </c:pt>
                <c:pt idx="25">
                  <c:v>11.5</c:v>
                </c:pt>
                <c:pt idx="26">
                  <c:v>11.5</c:v>
                </c:pt>
                <c:pt idx="27">
                  <c:v>11.5</c:v>
                </c:pt>
                <c:pt idx="28">
                  <c:v>11.5</c:v>
                </c:pt>
                <c:pt idx="29">
                  <c:v>11.5</c:v>
                </c:pt>
                <c:pt idx="30">
                  <c:v>11.5</c:v>
                </c:pt>
                <c:pt idx="31">
                  <c:v>11.5</c:v>
                </c:pt>
                <c:pt idx="32">
                  <c:v>11.5</c:v>
                </c:pt>
                <c:pt idx="33">
                  <c:v>11.5</c:v>
                </c:pt>
                <c:pt idx="34">
                  <c:v>10</c:v>
                </c:pt>
                <c:pt idx="35">
                  <c:v>10</c:v>
                </c:pt>
                <c:pt idx="36">
                  <c:v>10</c:v>
                </c:pt>
                <c:pt idx="37">
                  <c:v>10</c:v>
                </c:pt>
                <c:pt idx="38">
                  <c:v>10</c:v>
                </c:pt>
                <c:pt idx="39">
                  <c:v>0</c:v>
                </c:pt>
                <c:pt idx="40">
                  <c:v>0</c:v>
                </c:pt>
                <c:pt idx="41">
                  <c:v>0</c:v>
                </c:pt>
                <c:pt idx="42">
                  <c:v>0</c:v>
                </c:pt>
                <c:pt idx="43">
                  <c:v>0</c:v>
                </c:pt>
                <c:pt idx="44">
                  <c:v>0</c:v>
                </c:pt>
              </c:numCache>
            </c:numRef>
          </c:val>
          <c:smooth val="0"/>
          <c:extLst>
            <c:ext xmlns:c16="http://schemas.microsoft.com/office/drawing/2014/chart" uri="{C3380CC4-5D6E-409C-BE32-E72D297353CC}">
              <c16:uniqueId val="{00000001-3DC6-4CEF-A824-5FF46E17B42E}"/>
            </c:ext>
          </c:extLst>
        </c:ser>
        <c:dLbls>
          <c:showLegendKey val="0"/>
          <c:showVal val="0"/>
          <c:showCatName val="0"/>
          <c:showSerName val="0"/>
          <c:showPercent val="0"/>
          <c:showBubbleSize val="0"/>
        </c:dLbls>
        <c:smooth val="0"/>
        <c:axId val="919558680"/>
        <c:axId val="919560976"/>
      </c:lineChart>
      <c:catAx>
        <c:axId val="919558680"/>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year ending</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9560976"/>
        <c:crosses val="autoZero"/>
        <c:auto val="1"/>
        <c:lblAlgn val="ctr"/>
        <c:lblOffset val="100"/>
        <c:noMultiLvlLbl val="0"/>
      </c:catAx>
      <c:valAx>
        <c:axId val="9195609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£m</a:t>
                </a:r>
              </a:p>
            </c:rich>
          </c:tx>
          <c:layout>
            <c:manualLayout>
              <c:xMode val="edge"/>
              <c:yMode val="edge"/>
              <c:x val="1.0362695709775979E-2"/>
              <c:y val="0.38894280583938334"/>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95586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Cash flow Forecast 2021/22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strRef>
              <c:f>Sheet1!$A$4:$A$256</c:f>
              <c:strCache>
                <c:ptCount val="253"/>
                <c:pt idx="0">
                  <c:v>01-Apr-2021</c:v>
                </c:pt>
                <c:pt idx="1">
                  <c:v>06-Apr-2021</c:v>
                </c:pt>
                <c:pt idx="2">
                  <c:v>07-Apr-2021</c:v>
                </c:pt>
                <c:pt idx="3">
                  <c:v>08-Apr-2021</c:v>
                </c:pt>
                <c:pt idx="4">
                  <c:v>09-Apr-2021</c:v>
                </c:pt>
                <c:pt idx="5">
                  <c:v>12-Apr-2021</c:v>
                </c:pt>
                <c:pt idx="6">
                  <c:v>13-Apr-2021</c:v>
                </c:pt>
                <c:pt idx="7">
                  <c:v>14-Apr-2021</c:v>
                </c:pt>
                <c:pt idx="8">
                  <c:v>15-Apr-2021</c:v>
                </c:pt>
                <c:pt idx="9">
                  <c:v>16-Apr-2021</c:v>
                </c:pt>
                <c:pt idx="10">
                  <c:v>19-Apr-2021</c:v>
                </c:pt>
                <c:pt idx="11">
                  <c:v>20-Apr-2021</c:v>
                </c:pt>
                <c:pt idx="12">
                  <c:v>21-Apr-2021</c:v>
                </c:pt>
                <c:pt idx="13">
                  <c:v>22-Apr-2021</c:v>
                </c:pt>
                <c:pt idx="14">
                  <c:v>23-Apr-2021</c:v>
                </c:pt>
                <c:pt idx="15">
                  <c:v>26-Apr-2021</c:v>
                </c:pt>
                <c:pt idx="16">
                  <c:v>27-Apr-2021</c:v>
                </c:pt>
                <c:pt idx="17">
                  <c:v>28-Apr-2021</c:v>
                </c:pt>
                <c:pt idx="18">
                  <c:v>29-Apr-2021</c:v>
                </c:pt>
                <c:pt idx="19">
                  <c:v>30-Apr-2021</c:v>
                </c:pt>
                <c:pt idx="20">
                  <c:v>04-May-2021</c:v>
                </c:pt>
                <c:pt idx="21">
                  <c:v>05-May-2021</c:v>
                </c:pt>
                <c:pt idx="22">
                  <c:v>06-May-2021</c:v>
                </c:pt>
                <c:pt idx="23">
                  <c:v>07-May-2021</c:v>
                </c:pt>
                <c:pt idx="24">
                  <c:v>10-May-2021</c:v>
                </c:pt>
                <c:pt idx="25">
                  <c:v>11-May-2021</c:v>
                </c:pt>
                <c:pt idx="26">
                  <c:v>12-May-2021</c:v>
                </c:pt>
                <c:pt idx="27">
                  <c:v>13-May-2021</c:v>
                </c:pt>
                <c:pt idx="28">
                  <c:v>14-May-2021</c:v>
                </c:pt>
                <c:pt idx="29">
                  <c:v>17-May-2021</c:v>
                </c:pt>
                <c:pt idx="30">
                  <c:v>18-May-2021</c:v>
                </c:pt>
                <c:pt idx="31">
                  <c:v>19-May-2021</c:v>
                </c:pt>
                <c:pt idx="32">
                  <c:v>20-May-2021</c:v>
                </c:pt>
                <c:pt idx="33">
                  <c:v>21-May-2021</c:v>
                </c:pt>
                <c:pt idx="34">
                  <c:v>24-May-2021</c:v>
                </c:pt>
                <c:pt idx="35">
                  <c:v>25-May-2021</c:v>
                </c:pt>
                <c:pt idx="36">
                  <c:v>26-May-2021</c:v>
                </c:pt>
                <c:pt idx="37">
                  <c:v>27-May-2021</c:v>
                </c:pt>
                <c:pt idx="38">
                  <c:v>28-May-2021</c:v>
                </c:pt>
                <c:pt idx="39">
                  <c:v>01-Jun-2021</c:v>
                </c:pt>
                <c:pt idx="40">
                  <c:v>02-Jun-2021</c:v>
                </c:pt>
                <c:pt idx="41">
                  <c:v>03-Jun-2021</c:v>
                </c:pt>
                <c:pt idx="42">
                  <c:v>04-Jun-2021</c:v>
                </c:pt>
                <c:pt idx="43">
                  <c:v>07-Jun-2021</c:v>
                </c:pt>
                <c:pt idx="44">
                  <c:v>08-Jun-2021</c:v>
                </c:pt>
                <c:pt idx="45">
                  <c:v>09-Jun-2021</c:v>
                </c:pt>
                <c:pt idx="46">
                  <c:v>10-Jun-2021</c:v>
                </c:pt>
                <c:pt idx="47">
                  <c:v>11-Jun-2021</c:v>
                </c:pt>
                <c:pt idx="48">
                  <c:v>14-Jun-2021</c:v>
                </c:pt>
                <c:pt idx="49">
                  <c:v>15-Jun-2021</c:v>
                </c:pt>
                <c:pt idx="50">
                  <c:v>16-Jun-2021</c:v>
                </c:pt>
                <c:pt idx="51">
                  <c:v>17-Jun-2021</c:v>
                </c:pt>
                <c:pt idx="52">
                  <c:v>18-Jun-2021</c:v>
                </c:pt>
                <c:pt idx="53">
                  <c:v>21-Jun-2021</c:v>
                </c:pt>
                <c:pt idx="54">
                  <c:v>22-Jun-2021</c:v>
                </c:pt>
                <c:pt idx="55">
                  <c:v>23-Jun-2021</c:v>
                </c:pt>
                <c:pt idx="56">
                  <c:v>24-Jun-2021</c:v>
                </c:pt>
                <c:pt idx="57">
                  <c:v>25-Jun-2021</c:v>
                </c:pt>
                <c:pt idx="58">
                  <c:v>28-Jun-2021</c:v>
                </c:pt>
                <c:pt idx="59">
                  <c:v>29-Jun-2021</c:v>
                </c:pt>
                <c:pt idx="60">
                  <c:v>30-Jun-2021</c:v>
                </c:pt>
                <c:pt idx="61">
                  <c:v>01-Jul-2021</c:v>
                </c:pt>
                <c:pt idx="62">
                  <c:v>02-Jul-2021</c:v>
                </c:pt>
                <c:pt idx="63">
                  <c:v>05-Jul-2021</c:v>
                </c:pt>
                <c:pt idx="64">
                  <c:v>06-Jul-2021</c:v>
                </c:pt>
                <c:pt idx="65">
                  <c:v>07-Jul-2021</c:v>
                </c:pt>
                <c:pt idx="66">
                  <c:v>08-Jul-2021</c:v>
                </c:pt>
                <c:pt idx="67">
                  <c:v>09-Jul-2021</c:v>
                </c:pt>
                <c:pt idx="68">
                  <c:v>12-Jul-2021</c:v>
                </c:pt>
                <c:pt idx="69">
                  <c:v>13-Jul-2021</c:v>
                </c:pt>
                <c:pt idx="70">
                  <c:v>14-Jul-2021</c:v>
                </c:pt>
                <c:pt idx="71">
                  <c:v>15-Jul-2021</c:v>
                </c:pt>
                <c:pt idx="72">
                  <c:v>16-Jul-2021</c:v>
                </c:pt>
                <c:pt idx="73">
                  <c:v>19-Jul-2021</c:v>
                </c:pt>
                <c:pt idx="74">
                  <c:v>20-Jul-2021</c:v>
                </c:pt>
                <c:pt idx="75">
                  <c:v>21-Jul-2021</c:v>
                </c:pt>
                <c:pt idx="76">
                  <c:v>22-Jul-2021</c:v>
                </c:pt>
                <c:pt idx="77">
                  <c:v>23-Jul-2021</c:v>
                </c:pt>
                <c:pt idx="78">
                  <c:v>26-Jul-2021</c:v>
                </c:pt>
                <c:pt idx="79">
                  <c:v>27-Jul-2021</c:v>
                </c:pt>
                <c:pt idx="80">
                  <c:v>28-Jul-2021</c:v>
                </c:pt>
                <c:pt idx="81">
                  <c:v>29-Jul-2021</c:v>
                </c:pt>
                <c:pt idx="82">
                  <c:v>30-Jul-2021</c:v>
                </c:pt>
                <c:pt idx="83">
                  <c:v>02-Aug-2021</c:v>
                </c:pt>
                <c:pt idx="84">
                  <c:v>03-Aug-2021</c:v>
                </c:pt>
                <c:pt idx="85">
                  <c:v>04-Aug-2021</c:v>
                </c:pt>
                <c:pt idx="86">
                  <c:v>05-Aug-2021</c:v>
                </c:pt>
                <c:pt idx="87">
                  <c:v>06-Aug-2021</c:v>
                </c:pt>
                <c:pt idx="88">
                  <c:v>09-Aug-2021</c:v>
                </c:pt>
                <c:pt idx="89">
                  <c:v>10-Aug-2021</c:v>
                </c:pt>
                <c:pt idx="90">
                  <c:v>11-Aug-2021</c:v>
                </c:pt>
                <c:pt idx="91">
                  <c:v>12-Aug-2021</c:v>
                </c:pt>
                <c:pt idx="92">
                  <c:v>13-Aug-2021</c:v>
                </c:pt>
                <c:pt idx="93">
                  <c:v>16-Aug-2021</c:v>
                </c:pt>
                <c:pt idx="94">
                  <c:v>17-Aug-2021</c:v>
                </c:pt>
                <c:pt idx="95">
                  <c:v>18-Aug-2021</c:v>
                </c:pt>
                <c:pt idx="96">
                  <c:v>19-Aug-2021</c:v>
                </c:pt>
                <c:pt idx="97">
                  <c:v>20-Aug-2021</c:v>
                </c:pt>
                <c:pt idx="98">
                  <c:v>23-Aug-2021</c:v>
                </c:pt>
                <c:pt idx="99">
                  <c:v>24-Aug-2021</c:v>
                </c:pt>
                <c:pt idx="100">
                  <c:v>25-Aug-2021</c:v>
                </c:pt>
                <c:pt idx="101">
                  <c:v>26-Aug-2021</c:v>
                </c:pt>
                <c:pt idx="102">
                  <c:v>27-Aug-2021</c:v>
                </c:pt>
                <c:pt idx="103">
                  <c:v>31-Aug-2021</c:v>
                </c:pt>
                <c:pt idx="104">
                  <c:v>01-Sep-2021</c:v>
                </c:pt>
                <c:pt idx="105">
                  <c:v>02-Sep-2021</c:v>
                </c:pt>
                <c:pt idx="106">
                  <c:v>03-Sep-2021</c:v>
                </c:pt>
                <c:pt idx="107">
                  <c:v>06-Sep-2021</c:v>
                </c:pt>
                <c:pt idx="108">
                  <c:v>07-Sep-2021</c:v>
                </c:pt>
                <c:pt idx="109">
                  <c:v>08-Sep-2021</c:v>
                </c:pt>
                <c:pt idx="110">
                  <c:v>09-Sep-2021</c:v>
                </c:pt>
                <c:pt idx="111">
                  <c:v>10-Sep-2021</c:v>
                </c:pt>
                <c:pt idx="112">
                  <c:v>13-Sep-2021</c:v>
                </c:pt>
                <c:pt idx="113">
                  <c:v>14-Sep-2021</c:v>
                </c:pt>
                <c:pt idx="114">
                  <c:v>15-Sep-2021</c:v>
                </c:pt>
                <c:pt idx="115">
                  <c:v>16-Sep-2021</c:v>
                </c:pt>
                <c:pt idx="116">
                  <c:v>17-Sep-2021</c:v>
                </c:pt>
                <c:pt idx="117">
                  <c:v>20-Sep-2021</c:v>
                </c:pt>
                <c:pt idx="118">
                  <c:v>21-Sep-2021</c:v>
                </c:pt>
                <c:pt idx="119">
                  <c:v>22-Sep-2021</c:v>
                </c:pt>
                <c:pt idx="120">
                  <c:v>23-Sep-2021</c:v>
                </c:pt>
                <c:pt idx="121">
                  <c:v>24-Sep-2021</c:v>
                </c:pt>
                <c:pt idx="122">
                  <c:v>27-Sep-2021</c:v>
                </c:pt>
                <c:pt idx="123">
                  <c:v>28-Sep-2021</c:v>
                </c:pt>
                <c:pt idx="124">
                  <c:v>29-Sep-2021</c:v>
                </c:pt>
                <c:pt idx="125">
                  <c:v>30-Sep-2021</c:v>
                </c:pt>
                <c:pt idx="126">
                  <c:v>01-Oct-2021</c:v>
                </c:pt>
                <c:pt idx="127">
                  <c:v>04-Oct-2021</c:v>
                </c:pt>
                <c:pt idx="128">
                  <c:v>05-Oct-2021</c:v>
                </c:pt>
                <c:pt idx="129">
                  <c:v>06-Oct-2021</c:v>
                </c:pt>
                <c:pt idx="130">
                  <c:v>07-Oct-2021</c:v>
                </c:pt>
                <c:pt idx="131">
                  <c:v>08-Oct-2021</c:v>
                </c:pt>
                <c:pt idx="132">
                  <c:v>11-Oct-2021</c:v>
                </c:pt>
                <c:pt idx="133">
                  <c:v>12-Oct-2021</c:v>
                </c:pt>
                <c:pt idx="134">
                  <c:v>13-Oct-2021</c:v>
                </c:pt>
                <c:pt idx="135">
                  <c:v>14-Oct-2021</c:v>
                </c:pt>
                <c:pt idx="136">
                  <c:v>15-Oct-2021</c:v>
                </c:pt>
                <c:pt idx="137">
                  <c:v>18-Oct-2021</c:v>
                </c:pt>
                <c:pt idx="138">
                  <c:v>19-Oct-2021</c:v>
                </c:pt>
                <c:pt idx="139">
                  <c:v>20-Oct-2021</c:v>
                </c:pt>
                <c:pt idx="140">
                  <c:v>21-Oct-2021</c:v>
                </c:pt>
                <c:pt idx="141">
                  <c:v>22-Oct-2021</c:v>
                </c:pt>
                <c:pt idx="142">
                  <c:v>25-Oct-2021</c:v>
                </c:pt>
                <c:pt idx="143">
                  <c:v>26-Oct-2021</c:v>
                </c:pt>
                <c:pt idx="144">
                  <c:v>27-Oct-2021</c:v>
                </c:pt>
                <c:pt idx="145">
                  <c:v>28-Oct-2021</c:v>
                </c:pt>
                <c:pt idx="146">
                  <c:v>29-Oct-2021</c:v>
                </c:pt>
                <c:pt idx="147">
                  <c:v>01-Nov-2021</c:v>
                </c:pt>
                <c:pt idx="148">
                  <c:v>02-Nov-2021</c:v>
                </c:pt>
                <c:pt idx="149">
                  <c:v>03-Nov-2021</c:v>
                </c:pt>
                <c:pt idx="150">
                  <c:v>04-Nov-2021</c:v>
                </c:pt>
                <c:pt idx="151">
                  <c:v>05-Nov-2021</c:v>
                </c:pt>
                <c:pt idx="152">
                  <c:v>08-Nov-2021</c:v>
                </c:pt>
                <c:pt idx="153">
                  <c:v>09-Nov-2021</c:v>
                </c:pt>
                <c:pt idx="154">
                  <c:v>10-Nov-2021</c:v>
                </c:pt>
                <c:pt idx="155">
                  <c:v>11-Nov-2021</c:v>
                </c:pt>
                <c:pt idx="156">
                  <c:v>12-Nov-2021</c:v>
                </c:pt>
                <c:pt idx="157">
                  <c:v>15-Nov-2021</c:v>
                </c:pt>
                <c:pt idx="158">
                  <c:v>16-Nov-2021</c:v>
                </c:pt>
                <c:pt idx="159">
                  <c:v>17-Nov-2021</c:v>
                </c:pt>
                <c:pt idx="160">
                  <c:v>18-Nov-2021</c:v>
                </c:pt>
                <c:pt idx="161">
                  <c:v>19-Nov-2021</c:v>
                </c:pt>
                <c:pt idx="162">
                  <c:v>22-Nov-2021</c:v>
                </c:pt>
                <c:pt idx="163">
                  <c:v>23-Nov-2021</c:v>
                </c:pt>
                <c:pt idx="164">
                  <c:v>24-Nov-2021</c:v>
                </c:pt>
                <c:pt idx="165">
                  <c:v>25-Nov-2021</c:v>
                </c:pt>
                <c:pt idx="166">
                  <c:v>26-Nov-2021</c:v>
                </c:pt>
                <c:pt idx="167">
                  <c:v>29-Nov-2021</c:v>
                </c:pt>
                <c:pt idx="168">
                  <c:v>30-Nov-2021</c:v>
                </c:pt>
                <c:pt idx="169">
                  <c:v>01-Dec-2021</c:v>
                </c:pt>
                <c:pt idx="170">
                  <c:v>02-Dec-2021</c:v>
                </c:pt>
                <c:pt idx="171">
                  <c:v>03-Dec-2021</c:v>
                </c:pt>
                <c:pt idx="172">
                  <c:v>06-Dec-2021</c:v>
                </c:pt>
                <c:pt idx="173">
                  <c:v>07-Dec-2021</c:v>
                </c:pt>
                <c:pt idx="174">
                  <c:v>08-Dec-2021</c:v>
                </c:pt>
                <c:pt idx="175">
                  <c:v>09-Dec-2021</c:v>
                </c:pt>
                <c:pt idx="176">
                  <c:v>10-Dec-2021</c:v>
                </c:pt>
                <c:pt idx="177">
                  <c:v>13-Dec-2021</c:v>
                </c:pt>
                <c:pt idx="178">
                  <c:v>14-Dec-2021</c:v>
                </c:pt>
                <c:pt idx="179">
                  <c:v>15-Dec-2021</c:v>
                </c:pt>
                <c:pt idx="180">
                  <c:v>16-Dec-2021</c:v>
                </c:pt>
                <c:pt idx="181">
                  <c:v>17-Dec-2021</c:v>
                </c:pt>
                <c:pt idx="182">
                  <c:v>20-Dec-2021</c:v>
                </c:pt>
                <c:pt idx="183">
                  <c:v>21-Dec-2021</c:v>
                </c:pt>
                <c:pt idx="184">
                  <c:v>22-Dec-2021</c:v>
                </c:pt>
                <c:pt idx="185">
                  <c:v>23-Dec-2021</c:v>
                </c:pt>
                <c:pt idx="186">
                  <c:v>24-Dec-2021</c:v>
                </c:pt>
                <c:pt idx="187">
                  <c:v>29-Dec-2021</c:v>
                </c:pt>
                <c:pt idx="188">
                  <c:v>30-Dec-2021</c:v>
                </c:pt>
                <c:pt idx="189">
                  <c:v>31-Dec-2021</c:v>
                </c:pt>
                <c:pt idx="190">
                  <c:v>04-Jan-2022</c:v>
                </c:pt>
                <c:pt idx="191">
                  <c:v>05-Jan-2022</c:v>
                </c:pt>
                <c:pt idx="192">
                  <c:v>06-Jan-2022</c:v>
                </c:pt>
                <c:pt idx="193">
                  <c:v>07-Jan-2022</c:v>
                </c:pt>
                <c:pt idx="194">
                  <c:v>10-Jan-2022</c:v>
                </c:pt>
                <c:pt idx="195">
                  <c:v>11-Jan-2022</c:v>
                </c:pt>
                <c:pt idx="196">
                  <c:v>12-Jan-2022</c:v>
                </c:pt>
                <c:pt idx="197">
                  <c:v>13-Jan-2022</c:v>
                </c:pt>
                <c:pt idx="198">
                  <c:v>14-Jan-2022</c:v>
                </c:pt>
                <c:pt idx="199">
                  <c:v>17-Jan-2022</c:v>
                </c:pt>
                <c:pt idx="200">
                  <c:v>18-Jan-2022</c:v>
                </c:pt>
                <c:pt idx="201">
                  <c:v>19-Jan-2022</c:v>
                </c:pt>
                <c:pt idx="202">
                  <c:v>20-Jan-2022</c:v>
                </c:pt>
                <c:pt idx="203">
                  <c:v>21-Jan-2022</c:v>
                </c:pt>
                <c:pt idx="204">
                  <c:v>24-Jan-2022</c:v>
                </c:pt>
                <c:pt idx="205">
                  <c:v>25-Jan-2022</c:v>
                </c:pt>
                <c:pt idx="206">
                  <c:v>26-Jan-2022</c:v>
                </c:pt>
                <c:pt idx="207">
                  <c:v>27-Jan-2022</c:v>
                </c:pt>
                <c:pt idx="208">
                  <c:v>28-Jan-2022</c:v>
                </c:pt>
                <c:pt idx="209">
                  <c:v>31-Jan-2022</c:v>
                </c:pt>
                <c:pt idx="210">
                  <c:v>01-Feb-2022</c:v>
                </c:pt>
                <c:pt idx="211">
                  <c:v>02-Feb-2022</c:v>
                </c:pt>
                <c:pt idx="212">
                  <c:v>03-Feb-2022</c:v>
                </c:pt>
                <c:pt idx="213">
                  <c:v>04-Feb-2022</c:v>
                </c:pt>
                <c:pt idx="214">
                  <c:v>07-Feb-2022</c:v>
                </c:pt>
                <c:pt idx="215">
                  <c:v>08-Feb-2022</c:v>
                </c:pt>
                <c:pt idx="216">
                  <c:v>09-Feb-2022</c:v>
                </c:pt>
                <c:pt idx="217">
                  <c:v>10-Feb-2022</c:v>
                </c:pt>
                <c:pt idx="218">
                  <c:v>11-Feb-2022</c:v>
                </c:pt>
                <c:pt idx="219">
                  <c:v>14-Feb-2022</c:v>
                </c:pt>
                <c:pt idx="220">
                  <c:v>15-Feb-2022</c:v>
                </c:pt>
                <c:pt idx="221">
                  <c:v>16-Feb-2022</c:v>
                </c:pt>
                <c:pt idx="222">
                  <c:v>17-Feb-2022</c:v>
                </c:pt>
                <c:pt idx="223">
                  <c:v>18-Feb-2022</c:v>
                </c:pt>
                <c:pt idx="224">
                  <c:v>21-Feb-2022</c:v>
                </c:pt>
                <c:pt idx="225">
                  <c:v>22-Feb-2022</c:v>
                </c:pt>
                <c:pt idx="226">
                  <c:v>23-Feb-2022</c:v>
                </c:pt>
                <c:pt idx="227">
                  <c:v>24-Feb-2022</c:v>
                </c:pt>
                <c:pt idx="228">
                  <c:v>25-Feb-2022</c:v>
                </c:pt>
                <c:pt idx="229">
                  <c:v>28-Feb-2022</c:v>
                </c:pt>
                <c:pt idx="230">
                  <c:v>01-Mar-2022</c:v>
                </c:pt>
                <c:pt idx="231">
                  <c:v>02-Mar-2022</c:v>
                </c:pt>
                <c:pt idx="232">
                  <c:v>03-Mar-2022</c:v>
                </c:pt>
                <c:pt idx="233">
                  <c:v>04-Mar-2022</c:v>
                </c:pt>
                <c:pt idx="234">
                  <c:v>07-Mar-2022</c:v>
                </c:pt>
                <c:pt idx="235">
                  <c:v>08-Mar-2022</c:v>
                </c:pt>
                <c:pt idx="236">
                  <c:v>09-Mar-2022</c:v>
                </c:pt>
                <c:pt idx="237">
                  <c:v>10-Mar-2022</c:v>
                </c:pt>
                <c:pt idx="238">
                  <c:v>11-Mar-2022</c:v>
                </c:pt>
                <c:pt idx="239">
                  <c:v>14-Mar-2022</c:v>
                </c:pt>
                <c:pt idx="240">
                  <c:v>15-Mar-2022</c:v>
                </c:pt>
                <c:pt idx="241">
                  <c:v>16-Mar-2022</c:v>
                </c:pt>
                <c:pt idx="242">
                  <c:v>17-Mar-2022</c:v>
                </c:pt>
                <c:pt idx="243">
                  <c:v>18-Mar-2022</c:v>
                </c:pt>
                <c:pt idx="244">
                  <c:v>21-Mar-2022</c:v>
                </c:pt>
                <c:pt idx="245">
                  <c:v>22-Mar-2022</c:v>
                </c:pt>
                <c:pt idx="246">
                  <c:v>23-Mar-2022</c:v>
                </c:pt>
                <c:pt idx="247">
                  <c:v>24-Mar-2022</c:v>
                </c:pt>
                <c:pt idx="248">
                  <c:v>25-Mar-2022</c:v>
                </c:pt>
                <c:pt idx="249">
                  <c:v>28-Mar-2022</c:v>
                </c:pt>
                <c:pt idx="250">
                  <c:v>29-Mar-2022</c:v>
                </c:pt>
                <c:pt idx="251">
                  <c:v>30-Mar-2022</c:v>
                </c:pt>
                <c:pt idx="252">
                  <c:v>31-Mar-2022</c:v>
                </c:pt>
              </c:strCache>
            </c:strRef>
          </c:cat>
          <c:val>
            <c:numRef>
              <c:f>Sheet1!$B$4:$B$256</c:f>
              <c:numCache>
                <c:formatCode>_-* #,##0_-;\-* #,##0_-;_-* "-"??_-;_-@_-</c:formatCode>
                <c:ptCount val="253"/>
                <c:pt idx="0">
                  <c:v>-359000</c:v>
                </c:pt>
                <c:pt idx="1">
                  <c:v>16330756</c:v>
                </c:pt>
                <c:pt idx="2">
                  <c:v>15971756</c:v>
                </c:pt>
                <c:pt idx="3">
                  <c:v>15387756</c:v>
                </c:pt>
                <c:pt idx="4">
                  <c:v>15028756</c:v>
                </c:pt>
                <c:pt idx="5">
                  <c:v>14669756</c:v>
                </c:pt>
                <c:pt idx="6">
                  <c:v>14085756</c:v>
                </c:pt>
                <c:pt idx="7">
                  <c:v>13726756</c:v>
                </c:pt>
                <c:pt idx="8">
                  <c:v>18142756</c:v>
                </c:pt>
                <c:pt idx="9">
                  <c:v>27274414.287499994</c:v>
                </c:pt>
                <c:pt idx="10">
                  <c:v>26345414.287499994</c:v>
                </c:pt>
                <c:pt idx="11">
                  <c:v>33861889.657499991</c:v>
                </c:pt>
                <c:pt idx="12">
                  <c:v>33502889.657499991</c:v>
                </c:pt>
                <c:pt idx="13">
                  <c:v>22227588.28749999</c:v>
                </c:pt>
                <c:pt idx="14">
                  <c:v>22088588.28749999</c:v>
                </c:pt>
                <c:pt idx="15">
                  <c:v>19709643.077499989</c:v>
                </c:pt>
                <c:pt idx="16">
                  <c:v>19560041.327499989</c:v>
                </c:pt>
                <c:pt idx="17">
                  <c:v>1939041.3274999894</c:v>
                </c:pt>
                <c:pt idx="18">
                  <c:v>1355041.3274999894</c:v>
                </c:pt>
                <c:pt idx="19">
                  <c:v>2126041.3274999894</c:v>
                </c:pt>
                <c:pt idx="20">
                  <c:v>1542041.3274999894</c:v>
                </c:pt>
                <c:pt idx="21">
                  <c:v>1183041.3274999894</c:v>
                </c:pt>
                <c:pt idx="22">
                  <c:v>599041.32749998942</c:v>
                </c:pt>
                <c:pt idx="23">
                  <c:v>17660783.327499989</c:v>
                </c:pt>
                <c:pt idx="24">
                  <c:v>17301783.327499989</c:v>
                </c:pt>
                <c:pt idx="25">
                  <c:v>16717783.327499989</c:v>
                </c:pt>
                <c:pt idx="26">
                  <c:v>16358783.327499989</c:v>
                </c:pt>
                <c:pt idx="27">
                  <c:v>15774783.327499989</c:v>
                </c:pt>
                <c:pt idx="28">
                  <c:v>16148786.327499989</c:v>
                </c:pt>
                <c:pt idx="29">
                  <c:v>15789786.327499989</c:v>
                </c:pt>
                <c:pt idx="30">
                  <c:v>15205786.327499989</c:v>
                </c:pt>
                <c:pt idx="31">
                  <c:v>14276786.327499989</c:v>
                </c:pt>
                <c:pt idx="32">
                  <c:v>13692786.327499989</c:v>
                </c:pt>
                <c:pt idx="33">
                  <c:v>7908786.3274999894</c:v>
                </c:pt>
                <c:pt idx="34">
                  <c:v>7549786.3274999894</c:v>
                </c:pt>
                <c:pt idx="35">
                  <c:v>16456435.327499989</c:v>
                </c:pt>
                <c:pt idx="36">
                  <c:v>16097435.327499989</c:v>
                </c:pt>
                <c:pt idx="37">
                  <c:v>15513435.327499989</c:v>
                </c:pt>
                <c:pt idx="38">
                  <c:v>-36074.17250001058</c:v>
                </c:pt>
                <c:pt idx="39">
                  <c:v>-620074.17250001058</c:v>
                </c:pt>
                <c:pt idx="40">
                  <c:v>-979074.17250001058</c:v>
                </c:pt>
                <c:pt idx="41">
                  <c:v>-1563074.1725000106</c:v>
                </c:pt>
                <c:pt idx="42">
                  <c:v>15351681.827499989</c:v>
                </c:pt>
                <c:pt idx="43">
                  <c:v>14992681.827499989</c:v>
                </c:pt>
                <c:pt idx="44">
                  <c:v>14408681.827499989</c:v>
                </c:pt>
                <c:pt idx="45">
                  <c:v>14049681.827499989</c:v>
                </c:pt>
                <c:pt idx="46">
                  <c:v>13465681.827499989</c:v>
                </c:pt>
                <c:pt idx="47">
                  <c:v>13106681.827499989</c:v>
                </c:pt>
                <c:pt idx="48">
                  <c:v>12747681.827499989</c:v>
                </c:pt>
                <c:pt idx="49">
                  <c:v>7161188.677499989</c:v>
                </c:pt>
                <c:pt idx="50">
                  <c:v>6802188.677499989</c:v>
                </c:pt>
                <c:pt idx="51">
                  <c:v>6218188.677499989</c:v>
                </c:pt>
                <c:pt idx="52">
                  <c:v>5289188.677499989</c:v>
                </c:pt>
                <c:pt idx="53">
                  <c:v>4930188.677499989</c:v>
                </c:pt>
                <c:pt idx="54">
                  <c:v>-1298811.322500011</c:v>
                </c:pt>
                <c:pt idx="55">
                  <c:v>-1437811.322500011</c:v>
                </c:pt>
                <c:pt idx="56">
                  <c:v>-2021811.322500011</c:v>
                </c:pt>
                <c:pt idx="57">
                  <c:v>-2380811.322500011</c:v>
                </c:pt>
                <c:pt idx="58">
                  <c:v>-20001811.322500013</c:v>
                </c:pt>
                <c:pt idx="59">
                  <c:v>-20585811.322500013</c:v>
                </c:pt>
                <c:pt idx="60">
                  <c:v>-19814811.322500013</c:v>
                </c:pt>
                <c:pt idx="61">
                  <c:v>-10908162.322500013</c:v>
                </c:pt>
                <c:pt idx="62">
                  <c:v>38765427.717499986</c:v>
                </c:pt>
                <c:pt idx="63">
                  <c:v>38358465.217499986</c:v>
                </c:pt>
                <c:pt idx="64">
                  <c:v>37774465.217499986</c:v>
                </c:pt>
                <c:pt idx="65">
                  <c:v>54712573.217499986</c:v>
                </c:pt>
                <c:pt idx="66">
                  <c:v>54128573.217499986</c:v>
                </c:pt>
                <c:pt idx="67">
                  <c:v>53769573.217499986</c:v>
                </c:pt>
                <c:pt idx="68">
                  <c:v>43407312.94749999</c:v>
                </c:pt>
                <c:pt idx="69">
                  <c:v>42823312.94749999</c:v>
                </c:pt>
                <c:pt idx="70">
                  <c:v>42464312.94749999</c:v>
                </c:pt>
                <c:pt idx="71">
                  <c:v>41880312.94749999</c:v>
                </c:pt>
                <c:pt idx="72">
                  <c:v>41521312.94749999</c:v>
                </c:pt>
                <c:pt idx="73">
                  <c:v>40592312.94749999</c:v>
                </c:pt>
                <c:pt idx="74">
                  <c:v>40008312.94749999</c:v>
                </c:pt>
                <c:pt idx="75">
                  <c:v>39649312.94749999</c:v>
                </c:pt>
                <c:pt idx="76">
                  <c:v>33420312.94749999</c:v>
                </c:pt>
                <c:pt idx="77">
                  <c:v>33281312.94749999</c:v>
                </c:pt>
                <c:pt idx="78">
                  <c:v>32922312.94749999</c:v>
                </c:pt>
                <c:pt idx="79">
                  <c:v>32338312.94749999</c:v>
                </c:pt>
                <c:pt idx="80">
                  <c:v>14717312.94749999</c:v>
                </c:pt>
                <c:pt idx="81">
                  <c:v>9130833.4974999912</c:v>
                </c:pt>
                <c:pt idx="82">
                  <c:v>10335535.497499991</c:v>
                </c:pt>
                <c:pt idx="83">
                  <c:v>9976535.4974999912</c:v>
                </c:pt>
                <c:pt idx="84">
                  <c:v>9748856.4974999912</c:v>
                </c:pt>
                <c:pt idx="85">
                  <c:v>9389856.4974999912</c:v>
                </c:pt>
                <c:pt idx="86">
                  <c:v>8805856.4974999912</c:v>
                </c:pt>
                <c:pt idx="87">
                  <c:v>35284754.497499987</c:v>
                </c:pt>
                <c:pt idx="88">
                  <c:v>34925754.497499987</c:v>
                </c:pt>
                <c:pt idx="89">
                  <c:v>34341754.497499987</c:v>
                </c:pt>
                <c:pt idx="90">
                  <c:v>33982754.497499987</c:v>
                </c:pt>
                <c:pt idx="91">
                  <c:v>33398754.497499987</c:v>
                </c:pt>
                <c:pt idx="92">
                  <c:v>33039754.497499987</c:v>
                </c:pt>
                <c:pt idx="93">
                  <c:v>32680754.497499987</c:v>
                </c:pt>
                <c:pt idx="94">
                  <c:v>32096754.497499987</c:v>
                </c:pt>
                <c:pt idx="95">
                  <c:v>31167754.497499987</c:v>
                </c:pt>
                <c:pt idx="96">
                  <c:v>30583754.497499987</c:v>
                </c:pt>
                <c:pt idx="97">
                  <c:v>24579754.497499987</c:v>
                </c:pt>
                <c:pt idx="98">
                  <c:v>24440754.497499987</c:v>
                </c:pt>
                <c:pt idx="99">
                  <c:v>29228095.867499989</c:v>
                </c:pt>
                <c:pt idx="100">
                  <c:v>28869095.867499989</c:v>
                </c:pt>
                <c:pt idx="101">
                  <c:v>28285095.867499989</c:v>
                </c:pt>
                <c:pt idx="102">
                  <c:v>10664095.867499989</c:v>
                </c:pt>
                <c:pt idx="103">
                  <c:v>11210095.867499989</c:v>
                </c:pt>
                <c:pt idx="104">
                  <c:v>10851095.867499989</c:v>
                </c:pt>
                <c:pt idx="105">
                  <c:v>10623416.867499989</c:v>
                </c:pt>
                <c:pt idx="106">
                  <c:v>10264416.867499989</c:v>
                </c:pt>
                <c:pt idx="107">
                  <c:v>9905416.8674999885</c:v>
                </c:pt>
                <c:pt idx="108">
                  <c:v>26595172.867499989</c:v>
                </c:pt>
                <c:pt idx="109">
                  <c:v>26236172.867499989</c:v>
                </c:pt>
                <c:pt idx="110">
                  <c:v>25652172.867499989</c:v>
                </c:pt>
                <c:pt idx="111">
                  <c:v>25293172.867499989</c:v>
                </c:pt>
                <c:pt idx="112">
                  <c:v>24934172.867499989</c:v>
                </c:pt>
                <c:pt idx="113">
                  <c:v>33840821.867499992</c:v>
                </c:pt>
                <c:pt idx="114">
                  <c:v>33481821.867499992</c:v>
                </c:pt>
                <c:pt idx="115">
                  <c:v>32897821.867499992</c:v>
                </c:pt>
                <c:pt idx="116">
                  <c:v>31968821.867499992</c:v>
                </c:pt>
                <c:pt idx="117">
                  <c:v>31609821.867499992</c:v>
                </c:pt>
                <c:pt idx="118">
                  <c:v>31025821.867499992</c:v>
                </c:pt>
                <c:pt idx="119">
                  <c:v>25021821.867499992</c:v>
                </c:pt>
                <c:pt idx="120">
                  <c:v>24657821.867499992</c:v>
                </c:pt>
                <c:pt idx="121">
                  <c:v>24298821.867499992</c:v>
                </c:pt>
                <c:pt idx="122">
                  <c:v>23939821.867499992</c:v>
                </c:pt>
                <c:pt idx="123">
                  <c:v>5838821.8674999923</c:v>
                </c:pt>
                <c:pt idx="124">
                  <c:v>5479821.8674999923</c:v>
                </c:pt>
                <c:pt idx="125">
                  <c:v>5385651.8674999923</c:v>
                </c:pt>
                <c:pt idx="126">
                  <c:v>5026651.8674999923</c:v>
                </c:pt>
                <c:pt idx="127">
                  <c:v>4667651.8674999923</c:v>
                </c:pt>
                <c:pt idx="128">
                  <c:v>4083651.8674999923</c:v>
                </c:pt>
                <c:pt idx="129">
                  <c:v>3724651.8674999923</c:v>
                </c:pt>
                <c:pt idx="130">
                  <c:v>20770728.867499992</c:v>
                </c:pt>
                <c:pt idx="131">
                  <c:v>20411728.867499992</c:v>
                </c:pt>
                <c:pt idx="132">
                  <c:v>20052728.867499992</c:v>
                </c:pt>
                <c:pt idx="133">
                  <c:v>19468728.867499992</c:v>
                </c:pt>
                <c:pt idx="134">
                  <c:v>19109728.867499992</c:v>
                </c:pt>
                <c:pt idx="135">
                  <c:v>18525728.867499992</c:v>
                </c:pt>
                <c:pt idx="136">
                  <c:v>18166728.867499992</c:v>
                </c:pt>
                <c:pt idx="137">
                  <c:v>17807728.867499992</c:v>
                </c:pt>
                <c:pt idx="138">
                  <c:v>16653728.867499992</c:v>
                </c:pt>
                <c:pt idx="139">
                  <c:v>25785377.867499992</c:v>
                </c:pt>
                <c:pt idx="140">
                  <c:v>25201377.867499992</c:v>
                </c:pt>
                <c:pt idx="141">
                  <c:v>19417377.867499992</c:v>
                </c:pt>
                <c:pt idx="142">
                  <c:v>19058377.867499992</c:v>
                </c:pt>
                <c:pt idx="143">
                  <c:v>18474377.867499992</c:v>
                </c:pt>
                <c:pt idx="144">
                  <c:v>18115377.867499992</c:v>
                </c:pt>
                <c:pt idx="145">
                  <c:v>608092.86749999225</c:v>
                </c:pt>
                <c:pt idx="146">
                  <c:v>1379092.8674999923</c:v>
                </c:pt>
                <c:pt idx="147">
                  <c:v>1020092.8674999923</c:v>
                </c:pt>
                <c:pt idx="148">
                  <c:v>436092.86749999225</c:v>
                </c:pt>
                <c:pt idx="149">
                  <c:v>77092.867499992251</c:v>
                </c:pt>
                <c:pt idx="150">
                  <c:v>-506907.13250000775</c:v>
                </c:pt>
                <c:pt idx="151">
                  <c:v>16764169.867499992</c:v>
                </c:pt>
                <c:pt idx="152">
                  <c:v>16478662.867499992</c:v>
                </c:pt>
                <c:pt idx="153">
                  <c:v>15894662.867499992</c:v>
                </c:pt>
                <c:pt idx="154">
                  <c:v>15535662.867499992</c:v>
                </c:pt>
                <c:pt idx="155">
                  <c:v>14951662.867499992</c:v>
                </c:pt>
                <c:pt idx="156">
                  <c:v>14592662.867499992</c:v>
                </c:pt>
                <c:pt idx="157">
                  <c:v>14233662.867499992</c:v>
                </c:pt>
                <c:pt idx="158">
                  <c:v>13649662.867499992</c:v>
                </c:pt>
                <c:pt idx="159">
                  <c:v>12720662.867499992</c:v>
                </c:pt>
                <c:pt idx="160">
                  <c:v>12136662.867499992</c:v>
                </c:pt>
                <c:pt idx="161">
                  <c:v>11777662.867499992</c:v>
                </c:pt>
                <c:pt idx="162">
                  <c:v>5773662.8674999923</c:v>
                </c:pt>
                <c:pt idx="163">
                  <c:v>5409662.8674999923</c:v>
                </c:pt>
                <c:pt idx="164">
                  <c:v>5050662.8674999923</c:v>
                </c:pt>
                <c:pt idx="165">
                  <c:v>13957311.867499992</c:v>
                </c:pt>
                <c:pt idx="166">
                  <c:v>-3663688.1325000077</c:v>
                </c:pt>
                <c:pt idx="167">
                  <c:v>-4022688.1325000077</c:v>
                </c:pt>
                <c:pt idx="168">
                  <c:v>-2535197.6325000077</c:v>
                </c:pt>
                <c:pt idx="169">
                  <c:v>-2894197.6325000077</c:v>
                </c:pt>
                <c:pt idx="170">
                  <c:v>-3478197.6325000077</c:v>
                </c:pt>
                <c:pt idx="171">
                  <c:v>-3480876.6325000077</c:v>
                </c:pt>
                <c:pt idx="172">
                  <c:v>-3839876.6325000077</c:v>
                </c:pt>
                <c:pt idx="173">
                  <c:v>12849879.367499992</c:v>
                </c:pt>
                <c:pt idx="174">
                  <c:v>12490879.367499992</c:v>
                </c:pt>
                <c:pt idx="175">
                  <c:v>11906879.367499992</c:v>
                </c:pt>
                <c:pt idx="176">
                  <c:v>11547879.367499992</c:v>
                </c:pt>
                <c:pt idx="177">
                  <c:v>11188879.367499992</c:v>
                </c:pt>
                <c:pt idx="178">
                  <c:v>10604879.367499992</c:v>
                </c:pt>
                <c:pt idx="179">
                  <c:v>10245879.367499992</c:v>
                </c:pt>
                <c:pt idx="180">
                  <c:v>9661879.3674999923</c:v>
                </c:pt>
                <c:pt idx="181">
                  <c:v>8732879.3674999923</c:v>
                </c:pt>
                <c:pt idx="182">
                  <c:v>8373879.3674999923</c:v>
                </c:pt>
                <c:pt idx="183">
                  <c:v>7789879.3674999923</c:v>
                </c:pt>
                <c:pt idx="184">
                  <c:v>1785879.3674999923</c:v>
                </c:pt>
                <c:pt idx="185">
                  <c:v>1421879.3674999923</c:v>
                </c:pt>
                <c:pt idx="186">
                  <c:v>-16199120.632500008</c:v>
                </c:pt>
                <c:pt idx="187">
                  <c:v>-16783120.632500008</c:v>
                </c:pt>
                <c:pt idx="188">
                  <c:v>-17367120.632500008</c:v>
                </c:pt>
                <c:pt idx="189">
                  <c:v>-16596120.632500008</c:v>
                </c:pt>
                <c:pt idx="190">
                  <c:v>-17180120.632500008</c:v>
                </c:pt>
                <c:pt idx="191">
                  <c:v>-8096143.5075000077</c:v>
                </c:pt>
                <c:pt idx="192">
                  <c:v>-8680143.5075000077</c:v>
                </c:pt>
                <c:pt idx="193">
                  <c:v>8590933.4924999923</c:v>
                </c:pt>
                <c:pt idx="194">
                  <c:v>8231933.4924999923</c:v>
                </c:pt>
                <c:pt idx="195">
                  <c:v>7647933.4924999923</c:v>
                </c:pt>
                <c:pt idx="196">
                  <c:v>7288933.4924999923</c:v>
                </c:pt>
                <c:pt idx="197">
                  <c:v>6704933.4924999923</c:v>
                </c:pt>
                <c:pt idx="198">
                  <c:v>6345933.4924999923</c:v>
                </c:pt>
                <c:pt idx="199">
                  <c:v>5986933.4924999923</c:v>
                </c:pt>
                <c:pt idx="200">
                  <c:v>5402933.4924999923</c:v>
                </c:pt>
                <c:pt idx="201">
                  <c:v>4473933.4924999923</c:v>
                </c:pt>
                <c:pt idx="202">
                  <c:v>3889933.4924999923</c:v>
                </c:pt>
                <c:pt idx="203">
                  <c:v>-1894066.5075000077</c:v>
                </c:pt>
                <c:pt idx="204">
                  <c:v>-2253066.5075000077</c:v>
                </c:pt>
                <c:pt idx="205">
                  <c:v>-2837066.5075000077</c:v>
                </c:pt>
                <c:pt idx="206">
                  <c:v>-3196066.5075000077</c:v>
                </c:pt>
                <c:pt idx="207">
                  <c:v>-3780066.5075000077</c:v>
                </c:pt>
                <c:pt idx="208">
                  <c:v>-21211066.507500008</c:v>
                </c:pt>
                <c:pt idx="209">
                  <c:v>-20440066.507500008</c:v>
                </c:pt>
                <c:pt idx="210">
                  <c:v>-31052066.507500008</c:v>
                </c:pt>
                <c:pt idx="211">
                  <c:v>-31411066.507500008</c:v>
                </c:pt>
                <c:pt idx="212">
                  <c:v>-31995066.507500008</c:v>
                </c:pt>
                <c:pt idx="213">
                  <c:v>-14723989.507500008</c:v>
                </c:pt>
                <c:pt idx="214">
                  <c:v>-15009495.507500008</c:v>
                </c:pt>
                <c:pt idx="215">
                  <c:v>-15593495.507500008</c:v>
                </c:pt>
                <c:pt idx="216">
                  <c:v>-15952495.507500008</c:v>
                </c:pt>
                <c:pt idx="217">
                  <c:v>-7045846.5075000077</c:v>
                </c:pt>
                <c:pt idx="218">
                  <c:v>-7404846.5075000077</c:v>
                </c:pt>
                <c:pt idx="219">
                  <c:v>-7763846.5075000077</c:v>
                </c:pt>
                <c:pt idx="220">
                  <c:v>-8347846.5075000077</c:v>
                </c:pt>
                <c:pt idx="221">
                  <c:v>-8706846.5075000077</c:v>
                </c:pt>
                <c:pt idx="222">
                  <c:v>-9290846.5075000077</c:v>
                </c:pt>
                <c:pt idx="223">
                  <c:v>-10219846.507500008</c:v>
                </c:pt>
                <c:pt idx="224">
                  <c:v>-10578846.507500008</c:v>
                </c:pt>
                <c:pt idx="225">
                  <c:v>-16807846.507500008</c:v>
                </c:pt>
                <c:pt idx="226">
                  <c:v>-16946846.507500008</c:v>
                </c:pt>
                <c:pt idx="227">
                  <c:v>-17530846.507500008</c:v>
                </c:pt>
                <c:pt idx="228">
                  <c:v>-17889846.507500008</c:v>
                </c:pt>
                <c:pt idx="229">
                  <c:v>-34380846.507500008</c:v>
                </c:pt>
                <c:pt idx="230">
                  <c:v>-34964846.507500008</c:v>
                </c:pt>
                <c:pt idx="231">
                  <c:v>-35323846.507500008</c:v>
                </c:pt>
                <c:pt idx="232">
                  <c:v>-35907846.507500008</c:v>
                </c:pt>
                <c:pt idx="233">
                  <c:v>-18637090.507500008</c:v>
                </c:pt>
                <c:pt idx="234">
                  <c:v>-18996090.507500008</c:v>
                </c:pt>
                <c:pt idx="235">
                  <c:v>-19580090.507500008</c:v>
                </c:pt>
                <c:pt idx="236">
                  <c:v>-19939090.507500008</c:v>
                </c:pt>
                <c:pt idx="237">
                  <c:v>-20523090.507500008</c:v>
                </c:pt>
                <c:pt idx="238">
                  <c:v>-20882090.507500008</c:v>
                </c:pt>
                <c:pt idx="239">
                  <c:v>-21241090.507500008</c:v>
                </c:pt>
                <c:pt idx="240">
                  <c:v>-21825090.507500008</c:v>
                </c:pt>
                <c:pt idx="241">
                  <c:v>-22184090.507500008</c:v>
                </c:pt>
                <c:pt idx="242">
                  <c:v>-13277441.507500008</c:v>
                </c:pt>
                <c:pt idx="243">
                  <c:v>-14206441.507500008</c:v>
                </c:pt>
                <c:pt idx="244">
                  <c:v>-14565441.507500008</c:v>
                </c:pt>
                <c:pt idx="245">
                  <c:v>-20794441.507500008</c:v>
                </c:pt>
                <c:pt idx="246">
                  <c:v>-20933441.507500008</c:v>
                </c:pt>
                <c:pt idx="247">
                  <c:v>-21517441.507500008</c:v>
                </c:pt>
                <c:pt idx="248">
                  <c:v>-21876441.507500008</c:v>
                </c:pt>
                <c:pt idx="249">
                  <c:v>-39752441.507500008</c:v>
                </c:pt>
                <c:pt idx="250">
                  <c:v>-40336441.507500008</c:v>
                </c:pt>
                <c:pt idx="251">
                  <c:v>-40695441.507500008</c:v>
                </c:pt>
                <c:pt idx="252">
                  <c:v>-41132486.507500008</c:v>
                </c:pt>
              </c:numCache>
            </c:numRef>
          </c:val>
          <c:smooth val="0"/>
          <c:extLst>
            <c:ext xmlns:c16="http://schemas.microsoft.com/office/drawing/2014/chart" uri="{C3380CC4-5D6E-409C-BE32-E72D297353CC}">
              <c16:uniqueId val="{00000000-1AFA-4324-BFF6-BFC64F06986B}"/>
            </c:ext>
          </c:extLst>
        </c:ser>
        <c:dLbls>
          <c:showLegendKey val="0"/>
          <c:showVal val="0"/>
          <c:showCatName val="0"/>
          <c:showSerName val="0"/>
          <c:showPercent val="0"/>
          <c:showBubbleSize val="0"/>
        </c:dLbls>
        <c:smooth val="0"/>
        <c:axId val="1235805600"/>
        <c:axId val="1235810848"/>
      </c:lineChart>
      <c:catAx>
        <c:axId val="1235805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5810848"/>
        <c:crosses val="autoZero"/>
        <c:auto val="1"/>
        <c:lblAlgn val="ctr"/>
        <c:lblOffset val="100"/>
        <c:noMultiLvlLbl val="0"/>
      </c:catAx>
      <c:valAx>
        <c:axId val="1235810848"/>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5805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2586C-7AD4-49BC-B550-8C4FAEC21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4 - Report to Individual Cabinet Member - for Decision.dot</Template>
  <TotalTime>2</TotalTime>
  <Pages>13</Pages>
  <Words>4503</Words>
  <Characters>24930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Report to the insert Leader, Deputy Leader or Cabinet Member for (title) - as appropriate</vt:lpstr>
    </vt:vector>
  </TitlesOfParts>
  <Company>One Connect Limited</Company>
  <LinksUpToDate>false</LinksUpToDate>
  <CharactersWithSpaces>29375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insert Leader, Deputy Leader or Cabinet Member for (title) - as appropriate</dc:title>
  <dc:creator>rdmcm</dc:creator>
  <dc:description>10.9.12</dc:description>
  <cp:lastModifiedBy>Freeman, Steve</cp:lastModifiedBy>
  <cp:revision>2</cp:revision>
  <cp:lastPrinted>2015-02-03T11:23:00Z</cp:lastPrinted>
  <dcterms:created xsi:type="dcterms:W3CDTF">2021-03-29T15:08:00Z</dcterms:created>
  <dcterms:modified xsi:type="dcterms:W3CDTF">2021-03-29T15:08:00Z</dcterms:modified>
</cp:coreProperties>
</file>