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AA1E" w14:textId="77777777" w:rsidR="00E10FA4" w:rsidRDefault="00E10FA4"/>
    <w:p w14:paraId="06A4F0EE" w14:textId="2EAC26AF" w:rsidR="009D3690" w:rsidRDefault="009D3690" w:rsidP="009D3690">
      <w:pPr>
        <w:jc w:val="center"/>
        <w:rPr>
          <w:b/>
          <w:sz w:val="28"/>
        </w:rPr>
      </w:pPr>
      <w:r w:rsidRPr="009D3690">
        <w:rPr>
          <w:b/>
          <w:sz w:val="28"/>
        </w:rPr>
        <w:t xml:space="preserve">COMMISSIONING AND GRANT AGREEMENT </w:t>
      </w:r>
      <w:r w:rsidR="00BD142A">
        <w:rPr>
          <w:b/>
          <w:sz w:val="28"/>
        </w:rPr>
        <w:t>2019/20</w:t>
      </w:r>
    </w:p>
    <w:p w14:paraId="69AC3903" w14:textId="055B119B" w:rsidR="00966EC1" w:rsidRDefault="00966EC1" w:rsidP="009D3690">
      <w:pPr>
        <w:jc w:val="center"/>
        <w:rPr>
          <w:b/>
          <w:sz w:val="28"/>
        </w:rPr>
      </w:pPr>
      <w:r>
        <w:rPr>
          <w:b/>
          <w:sz w:val="28"/>
        </w:rPr>
        <w:t>THE LANCASHIRE KNIFE CRIME FUND</w:t>
      </w:r>
    </w:p>
    <w:p w14:paraId="05A83731" w14:textId="1595C4A2" w:rsidR="00966EC1" w:rsidRPr="002A38F1" w:rsidRDefault="00966EC1" w:rsidP="00966EC1">
      <w:pPr>
        <w:jc w:val="center"/>
        <w:rPr>
          <w:b/>
          <w:sz w:val="22"/>
        </w:rPr>
      </w:pPr>
      <w:r w:rsidRPr="002A38F1">
        <w:rPr>
          <w:b/>
          <w:sz w:val="22"/>
        </w:rPr>
        <w:t>(HOME OFFICE SERIOUS VIOLENCE FUND)</w:t>
      </w:r>
    </w:p>
    <w:p w14:paraId="00BB9E80" w14:textId="3E964837" w:rsidR="000E6540" w:rsidRDefault="000E6540" w:rsidP="009D3690">
      <w:pPr>
        <w:jc w:val="center"/>
        <w:rPr>
          <w:b/>
          <w:sz w:val="28"/>
        </w:rPr>
      </w:pPr>
      <w:r>
        <w:rPr>
          <w:b/>
          <w:sz w:val="28"/>
        </w:rPr>
        <w:t>NOTES AND GUIDANCE</w:t>
      </w:r>
    </w:p>
    <w:p w14:paraId="77135DA4" w14:textId="6D59765C" w:rsidR="0061297E" w:rsidRPr="0061297E" w:rsidRDefault="000E6540" w:rsidP="0061297E">
      <w:pPr>
        <w:jc w:val="center"/>
        <w:rPr>
          <w:b/>
        </w:rPr>
      </w:pPr>
      <w:r w:rsidRPr="000E6540">
        <w:rPr>
          <w:b/>
        </w:rPr>
        <w:t>Please read these Notes and Guidance before completing</w:t>
      </w:r>
      <w:r>
        <w:rPr>
          <w:b/>
        </w:rPr>
        <w:t xml:space="preserve"> the Commissioning and Grant Agreement to ensure that your initiative/project supports </w:t>
      </w:r>
      <w:r w:rsidR="003E30A8">
        <w:rPr>
          <w:b/>
        </w:rPr>
        <w:t>The Lancashire</w:t>
      </w:r>
      <w:r>
        <w:rPr>
          <w:b/>
        </w:rPr>
        <w:t xml:space="preserve"> </w:t>
      </w:r>
      <w:r w:rsidR="00966EC1">
        <w:rPr>
          <w:b/>
        </w:rPr>
        <w:t>Knife Crime Fund</w:t>
      </w:r>
      <w:r w:rsidR="00DF2990">
        <w:rPr>
          <w:b/>
        </w:rPr>
        <w:t xml:space="preserve"> outcomes and that the o</w:t>
      </w:r>
      <w:r>
        <w:rPr>
          <w:b/>
        </w:rPr>
        <w:t>utputs demonstrate value for money.</w:t>
      </w:r>
    </w:p>
    <w:p w14:paraId="329FCECE" w14:textId="57B45E77" w:rsidR="003E30A8" w:rsidRDefault="003E30A8" w:rsidP="00993A92">
      <w:pPr>
        <w:pStyle w:val="ListParagraph"/>
        <w:numPr>
          <w:ilvl w:val="0"/>
          <w:numId w:val="2"/>
        </w:numPr>
      </w:pPr>
      <w:r>
        <w:t>The Police and Crime Commissioner is acting as the body responsible for the administration of the Home Office Serious Violence Grant in Lancashire and has established a local Knife Crime Fund.</w:t>
      </w:r>
    </w:p>
    <w:p w14:paraId="766BC98F" w14:textId="37F4AC6D" w:rsidR="00993A92" w:rsidRDefault="003E30A8" w:rsidP="00993A92">
      <w:pPr>
        <w:pStyle w:val="ListParagraph"/>
        <w:numPr>
          <w:ilvl w:val="0"/>
          <w:numId w:val="2"/>
        </w:numPr>
      </w:pPr>
      <w:r>
        <w:t xml:space="preserve">The Lancashire Knife Crime Fund is open to all </w:t>
      </w:r>
      <w:r w:rsidRPr="002A38F1">
        <w:rPr>
          <w:b/>
        </w:rPr>
        <w:t xml:space="preserve">Third Sector and Community Organisations </w:t>
      </w:r>
      <w:r>
        <w:t xml:space="preserve">who are formally constituted and hold a bank account in the name of the organisation. For the purpose of this Fund applications will </w:t>
      </w:r>
      <w:r w:rsidRPr="002A38F1">
        <w:rPr>
          <w:b/>
        </w:rPr>
        <w:t>NOT</w:t>
      </w:r>
      <w:r>
        <w:t xml:space="preserve"> be received from Local Authorities and other Statutory Organisations.</w:t>
      </w:r>
    </w:p>
    <w:p w14:paraId="20207866" w14:textId="0A9413AE" w:rsidR="00993A92" w:rsidRDefault="00993A92" w:rsidP="00993A92">
      <w:pPr>
        <w:pStyle w:val="ListParagraph"/>
        <w:numPr>
          <w:ilvl w:val="0"/>
          <w:numId w:val="2"/>
        </w:numPr>
        <w:ind w:left="709" w:hanging="283"/>
      </w:pPr>
      <w:r>
        <w:t>Details of a</w:t>
      </w:r>
      <w:r w:rsidR="00DF2990">
        <w:t xml:space="preserve">ny match funding or resources </w:t>
      </w:r>
      <w:r w:rsidR="003E30A8">
        <w:t xml:space="preserve">to be used with the application </w:t>
      </w:r>
      <w:r w:rsidR="00DF2990">
        <w:t>must</w:t>
      </w:r>
      <w:r>
        <w:t xml:space="preserve"> be summarised in the first section of the Agreement and further details included in the "Details of the project or initiative"</w:t>
      </w:r>
    </w:p>
    <w:p w14:paraId="733BFDB0" w14:textId="082CD96B" w:rsidR="000905B2" w:rsidRPr="000905B2" w:rsidRDefault="000905B2" w:rsidP="006D6B3F">
      <w:pPr>
        <w:pStyle w:val="ListParagraph"/>
        <w:numPr>
          <w:ilvl w:val="0"/>
          <w:numId w:val="2"/>
        </w:numPr>
        <w:ind w:hanging="294"/>
        <w:rPr>
          <w:szCs w:val="24"/>
        </w:rPr>
      </w:pPr>
      <w:r>
        <w:rPr>
          <w:szCs w:val="24"/>
        </w:rPr>
        <w:t xml:space="preserve">When completing the application form consideration must be given to how your </w:t>
      </w:r>
      <w:r w:rsidR="005B5633">
        <w:rPr>
          <w:szCs w:val="24"/>
        </w:rPr>
        <w:t>organisations</w:t>
      </w:r>
      <w:r>
        <w:rPr>
          <w:szCs w:val="24"/>
        </w:rPr>
        <w:t xml:space="preserve"> relates to the principles of </w:t>
      </w:r>
      <w:r w:rsidR="00966EC1">
        <w:rPr>
          <w:szCs w:val="24"/>
        </w:rPr>
        <w:t xml:space="preserve">a </w:t>
      </w:r>
      <w:r>
        <w:rPr>
          <w:szCs w:val="24"/>
        </w:rPr>
        <w:t xml:space="preserve">Trauma Informed </w:t>
      </w:r>
      <w:r w:rsidR="00966EC1">
        <w:rPr>
          <w:szCs w:val="24"/>
        </w:rPr>
        <w:t>Approach</w:t>
      </w:r>
      <w:r>
        <w:rPr>
          <w:szCs w:val="24"/>
        </w:rPr>
        <w:t>.</w:t>
      </w:r>
    </w:p>
    <w:p w14:paraId="11AA0E3F" w14:textId="77777777" w:rsidR="0061297E" w:rsidRPr="0061297E" w:rsidRDefault="0061297E" w:rsidP="006D6B3F">
      <w:pPr>
        <w:pStyle w:val="ListParagraph"/>
        <w:numPr>
          <w:ilvl w:val="0"/>
          <w:numId w:val="2"/>
        </w:numPr>
        <w:ind w:hanging="294"/>
        <w:rPr>
          <w:szCs w:val="24"/>
        </w:rPr>
      </w:pPr>
      <w:r w:rsidRPr="0061297E">
        <w:rPr>
          <w:szCs w:val="24"/>
        </w:rPr>
        <w:t>The General Data Protection Regulation (GDPR) is a new European-wide law that replaces the Data Protection Act 1998 in the UK. It places greater obligations on how organisations handle personal data. It comes into effect on 25 May 2018.</w:t>
      </w:r>
    </w:p>
    <w:p w14:paraId="43F14F6B" w14:textId="77777777" w:rsidR="0061297E" w:rsidRPr="0061297E" w:rsidRDefault="0061297E" w:rsidP="0061297E">
      <w:pPr>
        <w:pStyle w:val="ListParagraph"/>
        <w:rPr>
          <w:szCs w:val="24"/>
        </w:rPr>
      </w:pPr>
      <w:r w:rsidRPr="0061297E">
        <w:rPr>
          <w:szCs w:val="24"/>
        </w:rPr>
        <w:t>The GDPR applies to "personal data" which means any information relating to an identifiable person who can be directly or indirectly identified in particular by reference to an identifier.</w:t>
      </w:r>
    </w:p>
    <w:p w14:paraId="1B808F1E" w14:textId="721A8CCF" w:rsidR="0061297E" w:rsidRPr="0061297E" w:rsidRDefault="0061297E" w:rsidP="0061297E">
      <w:pPr>
        <w:pStyle w:val="ListParagraph"/>
        <w:rPr>
          <w:szCs w:val="24"/>
        </w:rPr>
      </w:pPr>
      <w:r w:rsidRPr="0061297E">
        <w:rPr>
          <w:szCs w:val="24"/>
        </w:rPr>
        <w:t>Under the GDPR you must appoint a Data Protection Officer (DPO) in certain circumstances. For further advice on this issue please view the Inf</w:t>
      </w:r>
      <w:r w:rsidR="005A087B">
        <w:rPr>
          <w:szCs w:val="24"/>
        </w:rPr>
        <w:t xml:space="preserve">ormation Commissioners website - </w:t>
      </w:r>
      <w:hyperlink r:id="rId8" w:history="1">
        <w:r w:rsidR="005A087B" w:rsidRPr="00393CC7">
          <w:rPr>
            <w:rStyle w:val="Hyperlink"/>
            <w:szCs w:val="24"/>
          </w:rPr>
          <w:t>https://ico.org.uk/</w:t>
        </w:r>
      </w:hyperlink>
      <w:r w:rsidR="005A087B">
        <w:rPr>
          <w:szCs w:val="24"/>
        </w:rPr>
        <w:t xml:space="preserve"> </w:t>
      </w:r>
    </w:p>
    <w:p w14:paraId="401C1DA5" w14:textId="77777777" w:rsidR="0061297E" w:rsidRDefault="0061297E" w:rsidP="0061297E">
      <w:pPr>
        <w:pStyle w:val="ListParagraph"/>
      </w:pPr>
    </w:p>
    <w:p w14:paraId="3DA15AEB" w14:textId="77777777" w:rsidR="0061297E" w:rsidRPr="0061297E" w:rsidRDefault="0061297E" w:rsidP="0061297E">
      <w:pPr>
        <w:pStyle w:val="ListParagraph"/>
        <w:ind w:left="284"/>
      </w:pPr>
    </w:p>
    <w:p w14:paraId="1B1DEBE6" w14:textId="77777777" w:rsidR="002D5C0D" w:rsidRDefault="002D5C0D" w:rsidP="00322111">
      <w:pPr>
        <w:pStyle w:val="ListParagraph"/>
      </w:pPr>
    </w:p>
    <w:p w14:paraId="1D54CAA3" w14:textId="77777777" w:rsidR="00BD142A" w:rsidRDefault="00BD142A" w:rsidP="0061297E">
      <w:pPr>
        <w:pStyle w:val="ListParagraph"/>
        <w:jc w:val="center"/>
        <w:rPr>
          <w:b/>
        </w:rPr>
      </w:pPr>
    </w:p>
    <w:p w14:paraId="5CCE3692" w14:textId="70AB3075" w:rsidR="00322111" w:rsidRPr="000905B2" w:rsidRDefault="00322111" w:rsidP="000905B2">
      <w:pPr>
        <w:jc w:val="center"/>
        <w:rPr>
          <w:b/>
        </w:rPr>
      </w:pPr>
      <w:r w:rsidRPr="000905B2">
        <w:rPr>
          <w:b/>
        </w:rPr>
        <w:t>FUNDING TERMS</w:t>
      </w:r>
      <w:r w:rsidR="002262F5" w:rsidRPr="000905B2">
        <w:rPr>
          <w:b/>
        </w:rPr>
        <w:t xml:space="preserve"> AND CONDITIONS</w:t>
      </w:r>
      <w:bookmarkStart w:id="0" w:name="_GoBack"/>
      <w:bookmarkEnd w:id="0"/>
    </w:p>
    <w:p w14:paraId="6E1056ED" w14:textId="77777777" w:rsidR="00322111" w:rsidRPr="00460423" w:rsidRDefault="00322111" w:rsidP="00322111">
      <w:pPr>
        <w:pStyle w:val="ListParagraph"/>
        <w:rPr>
          <w:b/>
          <w:sz w:val="22"/>
        </w:rPr>
      </w:pPr>
    </w:p>
    <w:p w14:paraId="03E3C4C7" w14:textId="77777777" w:rsidR="00322111" w:rsidRDefault="00322111" w:rsidP="0061297E">
      <w:pPr>
        <w:pStyle w:val="ListParagraph"/>
        <w:numPr>
          <w:ilvl w:val="0"/>
          <w:numId w:val="3"/>
        </w:numPr>
        <w:ind w:left="709" w:hanging="425"/>
      </w:pPr>
      <w:r>
        <w:t>Grants may only be used for the purpose specified in the approved application and offer letter.</w:t>
      </w:r>
    </w:p>
    <w:p w14:paraId="5400B160" w14:textId="3D30691B" w:rsidR="00322111" w:rsidRDefault="00322111" w:rsidP="0061297E">
      <w:pPr>
        <w:pStyle w:val="ListParagraph"/>
        <w:numPr>
          <w:ilvl w:val="0"/>
          <w:numId w:val="3"/>
        </w:numPr>
        <w:ind w:left="709" w:hanging="425"/>
      </w:pPr>
      <w:r>
        <w:t>Assets or equipment purchase</w:t>
      </w:r>
      <w:r w:rsidR="008F0804">
        <w:t>d</w:t>
      </w:r>
      <w:r>
        <w:t xml:space="preserve"> with grant monies may not be sold or otherwise disposed of without written approval of the </w:t>
      </w:r>
      <w:r w:rsidR="00460423">
        <w:t>P</w:t>
      </w:r>
      <w:r w:rsidR="00DF2990">
        <w:t>CC</w:t>
      </w:r>
      <w:r>
        <w:t xml:space="preserve">. Where sale or disposal does take place (approved or otherwise), repayment of the grant may be required. The level of repayment and the timescale for this will be determined by the </w:t>
      </w:r>
      <w:r w:rsidR="00DF2990">
        <w:t>PCC.</w:t>
      </w:r>
    </w:p>
    <w:p w14:paraId="4A6D28FE" w14:textId="3B9D9A30" w:rsidR="00632C13" w:rsidRDefault="008824D1" w:rsidP="0061297E">
      <w:pPr>
        <w:pStyle w:val="ListParagraph"/>
        <w:numPr>
          <w:ilvl w:val="0"/>
          <w:numId w:val="3"/>
        </w:numPr>
        <w:ind w:left="709" w:hanging="425"/>
      </w:pPr>
      <w:r>
        <w:t>Any items purchased with a value exceeding £1,000 must be reported to the PCC for inclusion within the Asset Register.</w:t>
      </w:r>
    </w:p>
    <w:p w14:paraId="734EADBC" w14:textId="499FC310" w:rsidR="00322111" w:rsidRDefault="00322111" w:rsidP="0061297E">
      <w:pPr>
        <w:pStyle w:val="ListParagraph"/>
        <w:numPr>
          <w:ilvl w:val="0"/>
          <w:numId w:val="3"/>
        </w:numPr>
        <w:ind w:left="709" w:hanging="425"/>
      </w:pPr>
      <w:r>
        <w:t xml:space="preserve">Payment of the grant will not be made until the confirmation of acceptance of these terms and conditions and any additional conditions outlined in the offer letter are received by the </w:t>
      </w:r>
      <w:r w:rsidR="00DF2990">
        <w:t>PCC.</w:t>
      </w:r>
    </w:p>
    <w:p w14:paraId="2C6C0234" w14:textId="744255E0" w:rsidR="00322111" w:rsidRDefault="00322111" w:rsidP="0061297E">
      <w:pPr>
        <w:pStyle w:val="ListParagraph"/>
        <w:numPr>
          <w:ilvl w:val="0"/>
          <w:numId w:val="3"/>
        </w:numPr>
        <w:ind w:left="709" w:hanging="425"/>
      </w:pPr>
      <w:r>
        <w:t xml:space="preserve">Any approved grant does not imply any on-going commitments by the </w:t>
      </w:r>
      <w:r w:rsidR="00DF2990">
        <w:t xml:space="preserve">PCC </w:t>
      </w:r>
      <w:r>
        <w:t xml:space="preserve">to make further payments to the applicant organisation. </w:t>
      </w:r>
      <w:r w:rsidR="00DF2990">
        <w:t>The PCC will not make any commitment to fund salary costs.</w:t>
      </w:r>
    </w:p>
    <w:p w14:paraId="469D56F0" w14:textId="108EC7C2" w:rsidR="00322111" w:rsidRDefault="00CA4EF8" w:rsidP="0061297E">
      <w:pPr>
        <w:pStyle w:val="ListParagraph"/>
        <w:numPr>
          <w:ilvl w:val="0"/>
          <w:numId w:val="3"/>
        </w:numPr>
        <w:ind w:left="709" w:hanging="425"/>
      </w:pPr>
      <w:r>
        <w:t xml:space="preserve">Applicant organisations will inform the </w:t>
      </w:r>
      <w:r w:rsidR="00DF2990">
        <w:t>PCC</w:t>
      </w:r>
      <w:r>
        <w:t xml:space="preserve"> of any changes to bank details.</w:t>
      </w:r>
    </w:p>
    <w:p w14:paraId="1D1D0B0F" w14:textId="172EE91B" w:rsidR="00CA4EF8" w:rsidRDefault="00CA4EF8" w:rsidP="0061297E">
      <w:pPr>
        <w:pStyle w:val="ListParagraph"/>
        <w:numPr>
          <w:ilvl w:val="0"/>
          <w:numId w:val="3"/>
        </w:numPr>
        <w:ind w:left="709" w:hanging="425"/>
      </w:pPr>
      <w:r>
        <w:t xml:space="preserve">Applicant organisations shall comply with all relevant legislation, </w:t>
      </w:r>
      <w:r w:rsidR="00251E4F">
        <w:t xml:space="preserve">including </w:t>
      </w:r>
      <w:r>
        <w:t>law</w:t>
      </w:r>
      <w:r w:rsidR="00DF2990">
        <w:t>, taxation rules, equality, safeguarding and GDPR.</w:t>
      </w:r>
    </w:p>
    <w:p w14:paraId="7E3DF811" w14:textId="38632B46" w:rsidR="00CA4EF8" w:rsidRDefault="00CA4EF8" w:rsidP="0061297E">
      <w:pPr>
        <w:pStyle w:val="ListParagraph"/>
        <w:numPr>
          <w:ilvl w:val="0"/>
          <w:numId w:val="3"/>
        </w:numPr>
        <w:ind w:left="709" w:hanging="425"/>
      </w:pPr>
      <w:r>
        <w:t xml:space="preserve">The organisation </w:t>
      </w:r>
      <w:r w:rsidR="00DF2990">
        <w:t>will work with and seek approval from the</w:t>
      </w:r>
      <w:r>
        <w:t xml:space="preserve"> </w:t>
      </w:r>
      <w:r w:rsidR="00460423">
        <w:t>P</w:t>
      </w:r>
      <w:r w:rsidR="00DF2990">
        <w:t>CC</w:t>
      </w:r>
      <w:r>
        <w:t xml:space="preserve"> prior to publication </w:t>
      </w:r>
      <w:r w:rsidR="003E30A8">
        <w:t xml:space="preserve">of </w:t>
      </w:r>
      <w:r>
        <w:t xml:space="preserve">any publicity that they may wish to undertake in respect of the grant to allow the </w:t>
      </w:r>
      <w:r w:rsidR="00DF2990">
        <w:t>PCC</w:t>
      </w:r>
      <w:r>
        <w:t xml:space="preserve"> to contribute to the publicity.</w:t>
      </w:r>
    </w:p>
    <w:p w14:paraId="45B534A8" w14:textId="283105BF" w:rsidR="0061297E" w:rsidRDefault="00CA4EF8" w:rsidP="0061297E">
      <w:pPr>
        <w:pStyle w:val="ListParagraph"/>
        <w:numPr>
          <w:ilvl w:val="0"/>
          <w:numId w:val="3"/>
        </w:numPr>
        <w:ind w:left="709" w:hanging="425"/>
      </w:pPr>
      <w:r>
        <w:t>Applicant organisations will acknowledge the</w:t>
      </w:r>
      <w:r w:rsidR="00460423">
        <w:t xml:space="preserve"> </w:t>
      </w:r>
      <w:r w:rsidR="00966EC1">
        <w:t xml:space="preserve">Home Office </w:t>
      </w:r>
      <w:r w:rsidR="003E30A8">
        <w:t>Serious Violence</w:t>
      </w:r>
      <w:r w:rsidR="00966EC1">
        <w:t xml:space="preserve"> Fund</w:t>
      </w:r>
      <w:r>
        <w:t xml:space="preserve"> in any publicity material they produce </w:t>
      </w:r>
      <w:r w:rsidR="002262F5">
        <w:t>specific</w:t>
      </w:r>
      <w:r>
        <w:t xml:space="preserve"> </w:t>
      </w:r>
      <w:r w:rsidR="002262F5">
        <w:t xml:space="preserve">to the grant. Applicants agree to provide copies of any such materials to the </w:t>
      </w:r>
      <w:r w:rsidR="00DF2990">
        <w:t>PCC</w:t>
      </w:r>
      <w:r w:rsidR="00966EC1">
        <w:t>, as the body responsible for the local administration of the Fund</w:t>
      </w:r>
      <w:r w:rsidR="00DF2990">
        <w:t>.</w:t>
      </w:r>
    </w:p>
    <w:p w14:paraId="237463FE" w14:textId="6B0FA5C7" w:rsidR="002262F5" w:rsidRDefault="00061392" w:rsidP="002A38F1">
      <w:pPr>
        <w:pStyle w:val="ListParagraph"/>
        <w:numPr>
          <w:ilvl w:val="0"/>
          <w:numId w:val="3"/>
        </w:numPr>
        <w:ind w:left="709" w:hanging="425"/>
      </w:pPr>
      <w:r w:rsidRPr="0061297E">
        <w:rPr>
          <w:color w:val="000000" w:themeColor="text1"/>
        </w:rPr>
        <w:t xml:space="preserve">Funding is granted subject to the organisation agreeing to take part in publicity agreed by the </w:t>
      </w:r>
      <w:r w:rsidR="00DF2990" w:rsidRPr="0061297E">
        <w:rPr>
          <w:color w:val="000000" w:themeColor="text1"/>
        </w:rPr>
        <w:t>PCC</w:t>
      </w:r>
      <w:r w:rsidR="00966EC1">
        <w:t>, as the body responsible for the local administration of the Fund</w:t>
      </w:r>
      <w:r w:rsidRPr="0061297E">
        <w:rPr>
          <w:color w:val="000000" w:themeColor="text1"/>
        </w:rPr>
        <w:t>. This can take the form of media interviews for broadcast, online and print media; documentaries, posters, newsletters, social media and web updates.</w:t>
      </w:r>
    </w:p>
    <w:p w14:paraId="432CCDDB" w14:textId="5257B40F" w:rsidR="002262F5" w:rsidRDefault="002262F5" w:rsidP="0061297E">
      <w:pPr>
        <w:pStyle w:val="ListParagraph"/>
        <w:numPr>
          <w:ilvl w:val="0"/>
          <w:numId w:val="3"/>
        </w:numPr>
        <w:ind w:left="709" w:hanging="425"/>
      </w:pPr>
      <w:r>
        <w:t>Where an applicant overspends on the activity which was the subject of the grant application, no further funds will</w:t>
      </w:r>
      <w:r w:rsidR="00655E2A">
        <w:t xml:space="preserve"> automatically</w:t>
      </w:r>
      <w:r>
        <w:t xml:space="preserve"> </w:t>
      </w:r>
      <w:r w:rsidR="00655E2A">
        <w:t>be made</w:t>
      </w:r>
      <w:r>
        <w:t xml:space="preserve"> available by the </w:t>
      </w:r>
      <w:r w:rsidR="00DF2990">
        <w:t>PCC</w:t>
      </w:r>
      <w:r>
        <w:t>.</w:t>
      </w:r>
      <w:r w:rsidR="00655E2A">
        <w:t xml:space="preserve"> </w:t>
      </w:r>
    </w:p>
    <w:p w14:paraId="28E22872" w14:textId="28E77501" w:rsidR="002262F5" w:rsidRDefault="002262F5" w:rsidP="0061297E">
      <w:pPr>
        <w:pStyle w:val="ListParagraph"/>
        <w:numPr>
          <w:ilvl w:val="0"/>
          <w:numId w:val="3"/>
        </w:numPr>
        <w:ind w:left="709" w:hanging="425"/>
      </w:pPr>
      <w:r>
        <w:lastRenderedPageBreak/>
        <w:t xml:space="preserve">Where the grant is not spent in its entirety, any unspent balance must be returned to the </w:t>
      </w:r>
      <w:r w:rsidR="00DF2990">
        <w:t>PCC</w:t>
      </w:r>
      <w:r w:rsidR="003E30A8">
        <w:t>, as the body responsible for the local administration of the Fund</w:t>
      </w:r>
      <w:r w:rsidR="00DF2990">
        <w:t>.</w:t>
      </w:r>
    </w:p>
    <w:p w14:paraId="073667BF" w14:textId="3C765010" w:rsidR="002262F5" w:rsidRDefault="002262F5" w:rsidP="0061297E">
      <w:pPr>
        <w:pStyle w:val="ListParagraph"/>
        <w:numPr>
          <w:ilvl w:val="0"/>
          <w:numId w:val="3"/>
        </w:numPr>
        <w:ind w:left="709" w:hanging="425"/>
      </w:pPr>
      <w:r>
        <w:t xml:space="preserve">The applicant organisation will permit any officer of the </w:t>
      </w:r>
      <w:r w:rsidR="003E30A8">
        <w:t>O</w:t>
      </w:r>
      <w:r w:rsidR="00731A19">
        <w:t xml:space="preserve">PCC </w:t>
      </w:r>
      <w:r>
        <w:t>or its appointed auditors to visit its premises and/or inspect any activities and records related to this grant.</w:t>
      </w:r>
    </w:p>
    <w:p w14:paraId="7641F5B9" w14:textId="2C5EA027" w:rsidR="00632C13" w:rsidRDefault="002262F5" w:rsidP="0061297E">
      <w:pPr>
        <w:pStyle w:val="ListParagraph"/>
        <w:numPr>
          <w:ilvl w:val="0"/>
          <w:numId w:val="3"/>
        </w:numPr>
        <w:ind w:left="709" w:hanging="425"/>
      </w:pPr>
      <w:r>
        <w:t>The decisions made by the</w:t>
      </w:r>
      <w:r w:rsidR="00460423">
        <w:t xml:space="preserve"> </w:t>
      </w:r>
      <w:r w:rsidR="00731A19">
        <w:t>PCC</w:t>
      </w:r>
      <w:r w:rsidR="00966EC1">
        <w:t>, as the body responsible for the local administration of the Fund,</w:t>
      </w:r>
      <w:r w:rsidR="00731A19">
        <w:t xml:space="preserve"> </w:t>
      </w:r>
      <w:r>
        <w:t>in awarding grants and in operating this fund are final. There is no appeal process.</w:t>
      </w:r>
    </w:p>
    <w:p w14:paraId="0FAE3157" w14:textId="46AFEAEE" w:rsidR="00655E2A" w:rsidRDefault="00655E2A" w:rsidP="0061297E">
      <w:pPr>
        <w:pStyle w:val="ListParagraph"/>
        <w:numPr>
          <w:ilvl w:val="0"/>
          <w:numId w:val="3"/>
        </w:numPr>
        <w:ind w:left="709" w:hanging="425"/>
        <w:rPr>
          <w:color w:val="000000" w:themeColor="text1"/>
        </w:rPr>
      </w:pPr>
      <w:r w:rsidRPr="00251E4F">
        <w:rPr>
          <w:color w:val="000000" w:themeColor="text1"/>
        </w:rPr>
        <w:t xml:space="preserve">The </w:t>
      </w:r>
      <w:r w:rsidR="00731A19">
        <w:rPr>
          <w:color w:val="000000" w:themeColor="text1"/>
        </w:rPr>
        <w:t>PCC</w:t>
      </w:r>
      <w:r w:rsidRPr="00251E4F">
        <w:rPr>
          <w:color w:val="000000" w:themeColor="text1"/>
        </w:rPr>
        <w:t xml:space="preserve"> </w:t>
      </w:r>
      <w:r w:rsidR="0000744E" w:rsidRPr="00251E4F">
        <w:rPr>
          <w:color w:val="000000" w:themeColor="text1"/>
        </w:rPr>
        <w:t>has</w:t>
      </w:r>
      <w:r w:rsidRPr="00251E4F">
        <w:rPr>
          <w:color w:val="000000" w:themeColor="text1"/>
        </w:rPr>
        <w:t xml:space="preserve"> the discretion to withhold 20% of the grant value, for payment upon successful evaluation of the Project/ Initiative.</w:t>
      </w:r>
    </w:p>
    <w:p w14:paraId="4BC7C97A" w14:textId="5902C741" w:rsidR="00F30BC5" w:rsidRDefault="00731A19" w:rsidP="0061297E">
      <w:pPr>
        <w:pStyle w:val="ListParagraph"/>
        <w:numPr>
          <w:ilvl w:val="0"/>
          <w:numId w:val="3"/>
        </w:numPr>
        <w:ind w:left="709" w:hanging="425"/>
      </w:pPr>
      <w:r>
        <w:t xml:space="preserve">The </w:t>
      </w:r>
      <w:r w:rsidR="00F30BC5">
        <w:t>PCC reserves the right to withdraw funding / refuse funding at any time where an organisation applying for grant funding has been, or is, involved in any activity which may bring the PCC into disrepute.</w:t>
      </w:r>
    </w:p>
    <w:p w14:paraId="17221479" w14:textId="09A38B87" w:rsidR="00F30BC5" w:rsidRPr="00F30BC5" w:rsidRDefault="00731A19" w:rsidP="0061297E">
      <w:pPr>
        <w:pStyle w:val="ListParagraph"/>
        <w:numPr>
          <w:ilvl w:val="0"/>
          <w:numId w:val="3"/>
        </w:numPr>
        <w:ind w:left="709" w:hanging="425"/>
      </w:pPr>
      <w:r>
        <w:t xml:space="preserve">The </w:t>
      </w:r>
      <w:r w:rsidR="00F30BC5">
        <w:t>P</w:t>
      </w:r>
      <w:r w:rsidR="00966EC1">
        <w:t>C</w:t>
      </w:r>
      <w:r w:rsidR="00F30BC5">
        <w:t>C reserves the right to make staged payments to organisations who have been successful in securing grant funding, and this will be agreed in advance of the activities/project commencement date.</w:t>
      </w:r>
    </w:p>
    <w:p w14:paraId="0EC4DC17" w14:textId="4DC996CE" w:rsidR="00251E4F" w:rsidRPr="00251E4F" w:rsidRDefault="00731A19" w:rsidP="0061297E">
      <w:pPr>
        <w:pStyle w:val="ListParagraph"/>
        <w:numPr>
          <w:ilvl w:val="0"/>
          <w:numId w:val="3"/>
        </w:numPr>
        <w:ind w:left="709" w:hanging="425"/>
        <w:rPr>
          <w:color w:val="000000" w:themeColor="text1"/>
        </w:rPr>
      </w:pPr>
      <w:r>
        <w:rPr>
          <w:color w:val="000000" w:themeColor="text1"/>
        </w:rPr>
        <w:t>Whilst complying with GDPR t</w:t>
      </w:r>
      <w:r w:rsidR="00251E4F" w:rsidRPr="00251E4F">
        <w:rPr>
          <w:color w:val="000000" w:themeColor="text1"/>
        </w:rPr>
        <w:t>he applicant organisation will be expected to retain the following documents for a period of at least 6 years from the end of the funding period:</w:t>
      </w:r>
      <w:r w:rsidR="00251E4F" w:rsidRPr="00251E4F">
        <w:rPr>
          <w:color w:val="000000" w:themeColor="text1"/>
        </w:rPr>
        <w:br/>
        <w:t>Original invoices</w:t>
      </w:r>
      <w:r w:rsidR="00251E4F" w:rsidRPr="00251E4F">
        <w:rPr>
          <w:color w:val="000000" w:themeColor="text1"/>
        </w:rPr>
        <w:br/>
        <w:t>Receipts</w:t>
      </w:r>
      <w:r w:rsidR="00251E4F" w:rsidRPr="00251E4F">
        <w:rPr>
          <w:color w:val="000000" w:themeColor="text1"/>
        </w:rPr>
        <w:br/>
        <w:t>Minutes from relevant meetings</w:t>
      </w:r>
      <w:r w:rsidR="00251E4F" w:rsidRPr="00251E4F">
        <w:rPr>
          <w:color w:val="000000" w:themeColor="text1"/>
        </w:rPr>
        <w:br/>
        <w:t>Copies of accounts and deeds</w:t>
      </w:r>
      <w:r w:rsidR="00251E4F" w:rsidRPr="00251E4F">
        <w:rPr>
          <w:color w:val="000000" w:themeColor="text1"/>
        </w:rPr>
        <w:br/>
        <w:t>Any other relevant documentation</w:t>
      </w:r>
    </w:p>
    <w:p w14:paraId="4D1F263F" w14:textId="3F75260E" w:rsidR="0000744E" w:rsidRDefault="00251E4F" w:rsidP="0061297E">
      <w:pPr>
        <w:pStyle w:val="ListParagraph"/>
        <w:ind w:left="709"/>
        <w:rPr>
          <w:color w:val="000000" w:themeColor="text1"/>
        </w:rPr>
      </w:pPr>
      <w:r w:rsidRPr="00251E4F">
        <w:rPr>
          <w:color w:val="000000" w:themeColor="text1"/>
        </w:rPr>
        <w:t>(Please note these may be retained in eit</w:t>
      </w:r>
      <w:r w:rsidR="00494437">
        <w:rPr>
          <w:color w:val="000000" w:themeColor="text1"/>
        </w:rPr>
        <w:t>her written or electronic form)</w:t>
      </w:r>
    </w:p>
    <w:p w14:paraId="5919B622" w14:textId="0A134CFE" w:rsidR="00632C13" w:rsidRDefault="00494437" w:rsidP="0061297E">
      <w:pPr>
        <w:pStyle w:val="ListParagraph"/>
        <w:numPr>
          <w:ilvl w:val="0"/>
          <w:numId w:val="3"/>
        </w:numPr>
        <w:ind w:left="709" w:hanging="425"/>
        <w:rPr>
          <w:color w:val="000000" w:themeColor="text1"/>
        </w:rPr>
      </w:pPr>
      <w:r w:rsidRPr="00494437">
        <w:rPr>
          <w:color w:val="000000" w:themeColor="text1"/>
        </w:rPr>
        <w:t>The following costs are not Eligible Expenditure: Payments that support activity intended to inf</w:t>
      </w:r>
      <w:r w:rsidR="00DF2990">
        <w:rPr>
          <w:color w:val="000000" w:themeColor="text1"/>
        </w:rPr>
        <w:t>luence or attempt to influence p</w:t>
      </w:r>
      <w:r w:rsidRPr="00494437">
        <w:rPr>
          <w:color w:val="000000" w:themeColor="text1"/>
        </w:rPr>
        <w:t xml:space="preserve">arliament, government or political parties, or attempting to influence the awarding or renewal of contracts and grants, or attempting to influence legislative or regulatory </w:t>
      </w:r>
      <w:r>
        <w:rPr>
          <w:color w:val="000000" w:themeColor="text1"/>
        </w:rPr>
        <w:t>action.</w:t>
      </w:r>
    </w:p>
    <w:p w14:paraId="6BB0FCA4" w14:textId="77777777" w:rsidR="00BD142A" w:rsidRPr="0061297E" w:rsidRDefault="00BD142A" w:rsidP="00BD142A">
      <w:pPr>
        <w:pStyle w:val="ListParagraph"/>
        <w:ind w:left="709"/>
        <w:rPr>
          <w:color w:val="000000" w:themeColor="text1"/>
        </w:rPr>
      </w:pPr>
    </w:p>
    <w:p w14:paraId="49328C8B" w14:textId="01170895" w:rsidR="00322111" w:rsidRPr="0061297E" w:rsidRDefault="00460423" w:rsidP="00460423">
      <w:r>
        <w:rPr>
          <w:color w:val="FF0000"/>
          <w:sz w:val="36"/>
        </w:rPr>
        <w:t>Contact Us</w:t>
      </w:r>
      <w:r>
        <w:rPr>
          <w:color w:val="FF0000"/>
          <w:sz w:val="36"/>
        </w:rPr>
        <w:br/>
      </w:r>
      <w:proofErr w:type="gramStart"/>
      <w:r w:rsidR="00EE0AE1" w:rsidRPr="00460423">
        <w:t>If</w:t>
      </w:r>
      <w:proofErr w:type="gramEnd"/>
      <w:r w:rsidR="00EE0AE1" w:rsidRPr="00460423">
        <w:t xml:space="preserve"> you need any help with your application you can contact us</w:t>
      </w:r>
      <w:r w:rsidR="00BD142A" w:rsidRPr="00460423">
        <w:t xml:space="preserve">: </w:t>
      </w:r>
      <w:r>
        <w:rPr>
          <w:color w:val="FF0000"/>
          <w:sz w:val="36"/>
        </w:rPr>
        <w:br/>
      </w:r>
      <w:r w:rsidR="00EE0AE1" w:rsidRPr="00460423">
        <w:t>Website:</w:t>
      </w:r>
      <w:r w:rsidR="00EE0AE1" w:rsidRPr="00460423">
        <w:tab/>
      </w:r>
      <w:hyperlink r:id="rId9" w:history="1">
        <w:r w:rsidR="00EE0AE1" w:rsidRPr="00460423">
          <w:rPr>
            <w:rStyle w:val="Hyperlink"/>
          </w:rPr>
          <w:t>www.lancashire-pcc.gov.uk</w:t>
        </w:r>
      </w:hyperlink>
      <w:r>
        <w:rPr>
          <w:color w:val="FF0000"/>
          <w:sz w:val="36"/>
        </w:rPr>
        <w:br/>
      </w:r>
      <w:r w:rsidR="00EE0AE1" w:rsidRPr="00460423">
        <w:t>Telephone:</w:t>
      </w:r>
      <w:r w:rsidR="00EE0AE1" w:rsidRPr="00460423">
        <w:tab/>
        <w:t>01772 533587</w:t>
      </w:r>
      <w:r>
        <w:rPr>
          <w:color w:val="FF0000"/>
          <w:sz w:val="36"/>
        </w:rPr>
        <w:br/>
      </w:r>
      <w:r w:rsidR="00EE0AE1" w:rsidRPr="00460423">
        <w:t>E-Mail:</w:t>
      </w:r>
      <w:r w:rsidR="00EE0AE1" w:rsidRPr="00460423">
        <w:tab/>
      </w:r>
      <w:hyperlink r:id="rId10" w:history="1">
        <w:r w:rsidR="00EE0AE1" w:rsidRPr="00460423">
          <w:rPr>
            <w:rStyle w:val="Hyperlink"/>
          </w:rPr>
          <w:t>Commissioner@lancashire-pcc.gov.uk</w:t>
        </w:r>
      </w:hyperlink>
      <w:r w:rsidR="00EE0AE1" w:rsidRPr="00460423">
        <w:t xml:space="preserve"> </w:t>
      </w:r>
      <w:r>
        <w:rPr>
          <w:color w:val="FF0000"/>
          <w:sz w:val="36"/>
        </w:rPr>
        <w:br/>
      </w:r>
      <w:r w:rsidR="00EE0AE1" w:rsidRPr="00460423">
        <w:t>Address:</w:t>
      </w:r>
      <w:r w:rsidR="00EE0AE1" w:rsidRPr="00460423">
        <w:tab/>
        <w:t>Police and Crime Commissioner's Office</w:t>
      </w:r>
      <w:r w:rsidR="00EE0AE1" w:rsidRPr="00460423">
        <w:br/>
      </w:r>
      <w:r w:rsidR="00EE0AE1" w:rsidRPr="00460423">
        <w:tab/>
      </w:r>
      <w:r w:rsidR="00EE0AE1" w:rsidRPr="00460423">
        <w:tab/>
      </w:r>
      <w:r w:rsidR="00DF2990">
        <w:t>PO Box 100,</w:t>
      </w:r>
      <w:r w:rsidR="00EE0AE1" w:rsidRPr="00460423">
        <w:br/>
      </w:r>
      <w:r w:rsidR="00EE0AE1" w:rsidRPr="00460423">
        <w:tab/>
      </w:r>
      <w:r w:rsidR="00EE0AE1" w:rsidRPr="00460423">
        <w:tab/>
        <w:t>County Hall,</w:t>
      </w:r>
      <w:r w:rsidR="00EE0AE1" w:rsidRPr="00460423">
        <w:br/>
      </w:r>
      <w:r w:rsidR="00EE0AE1" w:rsidRPr="00460423">
        <w:lastRenderedPageBreak/>
        <w:tab/>
      </w:r>
      <w:r w:rsidR="00EE0AE1" w:rsidRPr="00460423">
        <w:tab/>
        <w:t>PRESTON</w:t>
      </w:r>
      <w:r w:rsidR="00EE0AE1" w:rsidRPr="00460423">
        <w:br/>
      </w:r>
      <w:r w:rsidR="00EE0AE1" w:rsidRPr="00460423">
        <w:tab/>
      </w:r>
      <w:r w:rsidR="00EE0AE1" w:rsidRPr="00460423">
        <w:tab/>
        <w:t>PR1 0LD</w:t>
      </w:r>
    </w:p>
    <w:sectPr w:rsidR="00322111" w:rsidRPr="0061297E" w:rsidSect="000905B2">
      <w:headerReference w:type="even" r:id="rId11"/>
      <w:headerReference w:type="default" r:id="rId12"/>
      <w:footerReference w:type="even" r:id="rId13"/>
      <w:footerReference w:type="default" r:id="rId14"/>
      <w:headerReference w:type="first" r:id="rId15"/>
      <w:footerReference w:type="first" r:id="rId16"/>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CC9E" w14:textId="77777777" w:rsidR="00655E2A" w:rsidRDefault="00655E2A" w:rsidP="009D3690">
      <w:pPr>
        <w:spacing w:after="0" w:line="240" w:lineRule="auto"/>
      </w:pPr>
      <w:r>
        <w:separator/>
      </w:r>
    </w:p>
  </w:endnote>
  <w:endnote w:type="continuationSeparator" w:id="0">
    <w:p w14:paraId="6A0BCB77" w14:textId="77777777" w:rsidR="00655E2A" w:rsidRDefault="00655E2A" w:rsidP="009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B66F" w14:textId="77777777" w:rsidR="00966EC1" w:rsidRDefault="0096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A847" w14:textId="77777777" w:rsidR="00966EC1" w:rsidRDefault="0096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4C39" w14:textId="77777777" w:rsidR="00966EC1" w:rsidRDefault="0096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5212" w14:textId="77777777" w:rsidR="00655E2A" w:rsidRDefault="00655E2A" w:rsidP="009D3690">
      <w:pPr>
        <w:spacing w:after="0" w:line="240" w:lineRule="auto"/>
      </w:pPr>
      <w:r>
        <w:separator/>
      </w:r>
    </w:p>
  </w:footnote>
  <w:footnote w:type="continuationSeparator" w:id="0">
    <w:p w14:paraId="0BA5F318" w14:textId="77777777" w:rsidR="00655E2A" w:rsidRDefault="00655E2A" w:rsidP="009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B5BB" w14:textId="77777777" w:rsidR="00966EC1" w:rsidRDefault="0096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E81A" w14:textId="0788D111" w:rsidR="00655E2A" w:rsidRDefault="00655E2A" w:rsidP="009D3690">
    <w:pPr>
      <w:pStyle w:val="Header"/>
      <w:rPr>
        <w:b/>
        <w:sz w:val="40"/>
      </w:rPr>
    </w:pPr>
    <w:r w:rsidRPr="009D3690">
      <w:rPr>
        <w:b/>
        <w:noProof/>
        <w:sz w:val="40"/>
        <w:lang w:eastAsia="en-GB"/>
      </w:rPr>
      <w:drawing>
        <wp:anchor distT="0" distB="0" distL="114300" distR="114300" simplePos="0" relativeHeight="251657216" behindDoc="0" locked="0" layoutInCell="1" allowOverlap="1" wp14:anchorId="35ACCDD5" wp14:editId="41612BA3">
          <wp:simplePos x="0" y="0"/>
          <wp:positionH relativeFrom="column">
            <wp:posOffset>4882677</wp:posOffset>
          </wp:positionH>
          <wp:positionV relativeFrom="paragraph">
            <wp:posOffset>-290830</wp:posOffset>
          </wp:positionV>
          <wp:extent cx="1568450" cy="15741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jpg"/>
                  <pic:cNvPicPr/>
                </pic:nvPicPr>
                <pic:blipFill>
                  <a:blip r:embed="rId1">
                    <a:extLst>
                      <a:ext uri="{28A0092B-C50C-407E-A947-70E740481C1C}">
                        <a14:useLocalDpi xmlns:a14="http://schemas.microsoft.com/office/drawing/2010/main" val="0"/>
                      </a:ext>
                    </a:extLst>
                  </a:blip>
                  <a:stretch>
                    <a:fillRect/>
                  </a:stretch>
                </pic:blipFill>
                <pic:spPr>
                  <a:xfrm>
                    <a:off x="0" y="0"/>
                    <a:ext cx="1568450" cy="1574165"/>
                  </a:xfrm>
                  <a:prstGeom prst="rect">
                    <a:avLst/>
                  </a:prstGeom>
                </pic:spPr>
              </pic:pic>
            </a:graphicData>
          </a:graphic>
          <wp14:sizeRelH relativeFrom="page">
            <wp14:pctWidth>0</wp14:pctWidth>
          </wp14:sizeRelH>
          <wp14:sizeRelV relativeFrom="page">
            <wp14:pctHeight>0</wp14:pctHeight>
          </wp14:sizeRelV>
        </wp:anchor>
      </w:drawing>
    </w:r>
  </w:p>
  <w:p w14:paraId="28EF2BB4" w14:textId="77777777" w:rsidR="00655E2A" w:rsidRDefault="00655E2A" w:rsidP="009D3690">
    <w:pPr>
      <w:pStyle w:val="Header"/>
      <w:rPr>
        <w:b/>
        <w:sz w:val="40"/>
      </w:rPr>
    </w:pPr>
    <w:r>
      <w:rPr>
        <w:b/>
        <w:sz w:val="40"/>
      </w:rPr>
      <w:t>POLICE AND CRIME COMMISSIONER</w:t>
    </w:r>
  </w:p>
  <w:p w14:paraId="7A6C4E69" w14:textId="77777777" w:rsidR="00655E2A" w:rsidRPr="009D3690" w:rsidRDefault="00655E2A" w:rsidP="009D3690">
    <w:pPr>
      <w:pStyle w:val="Header"/>
      <w:rPr>
        <w:b/>
        <w:sz w:val="40"/>
      </w:rPr>
    </w:pPr>
    <w:r>
      <w:rPr>
        <w:b/>
        <w:sz w:val="40"/>
      </w:rPr>
      <w:t>FOR LANCASHIRE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A6AE" w14:textId="77777777" w:rsidR="00966EC1" w:rsidRDefault="0096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0A51"/>
    <w:multiLevelType w:val="hybridMultilevel"/>
    <w:tmpl w:val="DA92A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02E13"/>
    <w:multiLevelType w:val="hybridMultilevel"/>
    <w:tmpl w:val="7292E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FA97963"/>
    <w:multiLevelType w:val="hybridMultilevel"/>
    <w:tmpl w:val="0F76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208C6"/>
    <w:multiLevelType w:val="hybridMultilevel"/>
    <w:tmpl w:val="B82280EE"/>
    <w:lvl w:ilvl="0" w:tplc="99C0EC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9B2E61"/>
    <w:multiLevelType w:val="hybridMultilevel"/>
    <w:tmpl w:val="3C969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43E89"/>
    <w:multiLevelType w:val="hybridMultilevel"/>
    <w:tmpl w:val="9394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0"/>
    <w:rsid w:val="0000744E"/>
    <w:rsid w:val="00061392"/>
    <w:rsid w:val="00062169"/>
    <w:rsid w:val="00062879"/>
    <w:rsid w:val="000905B2"/>
    <w:rsid w:val="000E6540"/>
    <w:rsid w:val="000F3B6E"/>
    <w:rsid w:val="001142CA"/>
    <w:rsid w:val="001564D4"/>
    <w:rsid w:val="002262F5"/>
    <w:rsid w:val="00245683"/>
    <w:rsid w:val="00251E4F"/>
    <w:rsid w:val="002A38F1"/>
    <w:rsid w:val="002C2302"/>
    <w:rsid w:val="002D5C0D"/>
    <w:rsid w:val="00322111"/>
    <w:rsid w:val="00354544"/>
    <w:rsid w:val="003E30A8"/>
    <w:rsid w:val="0040733B"/>
    <w:rsid w:val="00460423"/>
    <w:rsid w:val="00494437"/>
    <w:rsid w:val="004C6AFC"/>
    <w:rsid w:val="004D36B1"/>
    <w:rsid w:val="004F5799"/>
    <w:rsid w:val="00516094"/>
    <w:rsid w:val="005A087B"/>
    <w:rsid w:val="005B5633"/>
    <w:rsid w:val="005D29FE"/>
    <w:rsid w:val="0061297E"/>
    <w:rsid w:val="00632C13"/>
    <w:rsid w:val="00655E2A"/>
    <w:rsid w:val="006B687F"/>
    <w:rsid w:val="006D6B3F"/>
    <w:rsid w:val="00731A19"/>
    <w:rsid w:val="007A6512"/>
    <w:rsid w:val="008824D1"/>
    <w:rsid w:val="008B065B"/>
    <w:rsid w:val="008F0804"/>
    <w:rsid w:val="00966EC1"/>
    <w:rsid w:val="00993A92"/>
    <w:rsid w:val="009D3690"/>
    <w:rsid w:val="009D5B1B"/>
    <w:rsid w:val="00B3176E"/>
    <w:rsid w:val="00B55210"/>
    <w:rsid w:val="00BD142A"/>
    <w:rsid w:val="00C409AC"/>
    <w:rsid w:val="00C57CEA"/>
    <w:rsid w:val="00CA4EF8"/>
    <w:rsid w:val="00DF2990"/>
    <w:rsid w:val="00E10FA4"/>
    <w:rsid w:val="00E6711D"/>
    <w:rsid w:val="00E91875"/>
    <w:rsid w:val="00EE0AE1"/>
    <w:rsid w:val="00F30BC5"/>
    <w:rsid w:val="00F8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FEE8"/>
  <w15:docId w15:val="{9142BE6D-B7FE-4AA4-B0BB-A2CDFC6E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690"/>
  </w:style>
  <w:style w:type="paragraph" w:styleId="Footer">
    <w:name w:val="footer"/>
    <w:basedOn w:val="Normal"/>
    <w:link w:val="FooterChar"/>
    <w:uiPriority w:val="99"/>
    <w:unhideWhenUsed/>
    <w:rsid w:val="009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690"/>
  </w:style>
  <w:style w:type="paragraph" w:styleId="BalloonText">
    <w:name w:val="Balloon Text"/>
    <w:basedOn w:val="Normal"/>
    <w:link w:val="BalloonTextChar"/>
    <w:uiPriority w:val="99"/>
    <w:semiHidden/>
    <w:unhideWhenUsed/>
    <w:rsid w:val="009D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90"/>
    <w:rPr>
      <w:rFonts w:ascii="Tahoma" w:hAnsi="Tahoma" w:cs="Tahoma"/>
      <w:sz w:val="16"/>
      <w:szCs w:val="16"/>
    </w:rPr>
  </w:style>
  <w:style w:type="table" w:styleId="TableGrid">
    <w:name w:val="Table Grid"/>
    <w:basedOn w:val="TableNormal"/>
    <w:uiPriority w:val="59"/>
    <w:rsid w:val="009D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799"/>
    <w:rPr>
      <w:color w:val="0000FF" w:themeColor="hyperlink"/>
      <w:u w:val="single"/>
    </w:rPr>
  </w:style>
  <w:style w:type="paragraph" w:styleId="ListParagraph">
    <w:name w:val="List Paragraph"/>
    <w:basedOn w:val="Normal"/>
    <w:uiPriority w:val="34"/>
    <w:qFormat/>
    <w:rsid w:val="00993A92"/>
    <w:pPr>
      <w:ind w:left="720"/>
      <w:contextualSpacing/>
    </w:pPr>
  </w:style>
  <w:style w:type="character" w:styleId="CommentReference">
    <w:name w:val="annotation reference"/>
    <w:basedOn w:val="DefaultParagraphFont"/>
    <w:uiPriority w:val="99"/>
    <w:semiHidden/>
    <w:unhideWhenUsed/>
    <w:rsid w:val="00E6711D"/>
    <w:rPr>
      <w:sz w:val="16"/>
      <w:szCs w:val="16"/>
    </w:rPr>
  </w:style>
  <w:style w:type="paragraph" w:styleId="CommentText">
    <w:name w:val="annotation text"/>
    <w:basedOn w:val="Normal"/>
    <w:link w:val="CommentTextChar"/>
    <w:uiPriority w:val="99"/>
    <w:semiHidden/>
    <w:unhideWhenUsed/>
    <w:rsid w:val="00E6711D"/>
    <w:pPr>
      <w:spacing w:line="240" w:lineRule="auto"/>
    </w:pPr>
    <w:rPr>
      <w:sz w:val="20"/>
      <w:szCs w:val="20"/>
    </w:rPr>
  </w:style>
  <w:style w:type="character" w:customStyle="1" w:styleId="CommentTextChar">
    <w:name w:val="Comment Text Char"/>
    <w:basedOn w:val="DefaultParagraphFont"/>
    <w:link w:val="CommentText"/>
    <w:uiPriority w:val="99"/>
    <w:semiHidden/>
    <w:rsid w:val="00E6711D"/>
    <w:rPr>
      <w:sz w:val="20"/>
      <w:szCs w:val="20"/>
    </w:rPr>
  </w:style>
  <w:style w:type="paragraph" w:styleId="CommentSubject">
    <w:name w:val="annotation subject"/>
    <w:basedOn w:val="CommentText"/>
    <w:next w:val="CommentText"/>
    <w:link w:val="CommentSubjectChar"/>
    <w:uiPriority w:val="99"/>
    <w:semiHidden/>
    <w:unhideWhenUsed/>
    <w:rsid w:val="00E6711D"/>
    <w:rPr>
      <w:b/>
      <w:bCs/>
    </w:rPr>
  </w:style>
  <w:style w:type="character" w:customStyle="1" w:styleId="CommentSubjectChar">
    <w:name w:val="Comment Subject Char"/>
    <w:basedOn w:val="CommentTextChar"/>
    <w:link w:val="CommentSubject"/>
    <w:uiPriority w:val="99"/>
    <w:semiHidden/>
    <w:rsid w:val="00E6711D"/>
    <w:rPr>
      <w:b/>
      <w:bCs/>
      <w:sz w:val="20"/>
      <w:szCs w:val="20"/>
    </w:rPr>
  </w:style>
  <w:style w:type="character" w:styleId="FollowedHyperlink">
    <w:name w:val="FollowedHyperlink"/>
    <w:basedOn w:val="DefaultParagraphFont"/>
    <w:uiPriority w:val="99"/>
    <w:semiHidden/>
    <w:unhideWhenUsed/>
    <w:rsid w:val="00E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6870">
      <w:bodyDiv w:val="1"/>
      <w:marLeft w:val="0"/>
      <w:marRight w:val="0"/>
      <w:marTop w:val="0"/>
      <w:marBottom w:val="0"/>
      <w:divBdr>
        <w:top w:val="none" w:sz="0" w:space="0" w:color="auto"/>
        <w:left w:val="none" w:sz="0" w:space="0" w:color="auto"/>
        <w:bottom w:val="none" w:sz="0" w:space="0" w:color="auto"/>
        <w:right w:val="none" w:sz="0" w:space="0" w:color="auto"/>
      </w:divBdr>
    </w:div>
    <w:div w:id="556740587">
      <w:bodyDiv w:val="1"/>
      <w:marLeft w:val="0"/>
      <w:marRight w:val="0"/>
      <w:marTop w:val="0"/>
      <w:marBottom w:val="0"/>
      <w:divBdr>
        <w:top w:val="none" w:sz="0" w:space="0" w:color="auto"/>
        <w:left w:val="none" w:sz="0" w:space="0" w:color="auto"/>
        <w:bottom w:val="none" w:sz="0" w:space="0" w:color="auto"/>
        <w:right w:val="none" w:sz="0" w:space="0" w:color="auto"/>
      </w:divBdr>
    </w:div>
    <w:div w:id="731659958">
      <w:bodyDiv w:val="1"/>
      <w:marLeft w:val="0"/>
      <w:marRight w:val="0"/>
      <w:marTop w:val="0"/>
      <w:marBottom w:val="0"/>
      <w:divBdr>
        <w:top w:val="none" w:sz="0" w:space="0" w:color="auto"/>
        <w:left w:val="none" w:sz="0" w:space="0" w:color="auto"/>
        <w:bottom w:val="none" w:sz="0" w:space="0" w:color="auto"/>
        <w:right w:val="none" w:sz="0" w:space="0" w:color="auto"/>
      </w:divBdr>
    </w:div>
    <w:div w:id="13995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issioner@lancashire-pcc.gov.uk" TargetMode="External"/><Relationship Id="rId4" Type="http://schemas.openxmlformats.org/officeDocument/2006/relationships/settings" Target="settings.xml"/><Relationship Id="rId9" Type="http://schemas.openxmlformats.org/officeDocument/2006/relationships/hyperlink" Target="http://www.lancashire-pcc.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86F4-4ACE-43C7-B933-4F6B945D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Steffani</dc:creator>
  <cp:keywords/>
  <dc:description/>
  <cp:lastModifiedBy>Ruston, Robert</cp:lastModifiedBy>
  <cp:revision>6</cp:revision>
  <cp:lastPrinted>2019-05-31T09:08:00Z</cp:lastPrinted>
  <dcterms:created xsi:type="dcterms:W3CDTF">2019-10-07T15:55:00Z</dcterms:created>
  <dcterms:modified xsi:type="dcterms:W3CDTF">2019-10-18T07:58:00Z</dcterms:modified>
</cp:coreProperties>
</file>